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EA" w:rsidRDefault="003402EA" w:rsidP="003402EA">
      <w:pPr>
        <w:spacing w:line="240" w:lineRule="auto"/>
        <w:contextualSpacing/>
        <w:rPr>
          <w:rFonts w:asciiTheme="majorHAnsi" w:hAnsiTheme="majorHAnsi"/>
          <w:b/>
          <w:sz w:val="26"/>
          <w:szCs w:val="26"/>
        </w:rPr>
      </w:pPr>
    </w:p>
    <w:p w:rsidR="003402EA" w:rsidRPr="00C73885" w:rsidRDefault="003402EA" w:rsidP="003402EA">
      <w:pPr>
        <w:spacing w:line="240" w:lineRule="auto"/>
        <w:contextualSpacing/>
        <w:jc w:val="center"/>
        <w:rPr>
          <w:rFonts w:asciiTheme="majorHAnsi" w:hAnsiTheme="majorHAnsi"/>
          <w:b/>
          <w:color w:val="17365D" w:themeColor="text2" w:themeShade="BF"/>
          <w:sz w:val="26"/>
          <w:szCs w:val="26"/>
        </w:rPr>
      </w:pPr>
      <w:r w:rsidRPr="00C73885">
        <w:rPr>
          <w:rFonts w:asciiTheme="majorHAnsi" w:hAnsiTheme="majorHAnsi"/>
          <w:b/>
          <w:noProof/>
          <w:sz w:val="26"/>
          <w:szCs w:val="26"/>
          <w:lang w:eastAsia="en-IN"/>
        </w:rPr>
        <w:drawing>
          <wp:inline distT="0" distB="0" distL="0" distR="0">
            <wp:extent cx="8763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6300" cy="800100"/>
                    </a:xfrm>
                    <a:prstGeom prst="rect">
                      <a:avLst/>
                    </a:prstGeom>
                    <a:noFill/>
                    <a:ln w="9525">
                      <a:noFill/>
                      <a:miter lim="800000"/>
                      <a:headEnd/>
                      <a:tailEnd/>
                    </a:ln>
                  </pic:spPr>
                </pic:pic>
              </a:graphicData>
            </a:graphic>
          </wp:inline>
        </w:drawing>
      </w:r>
      <w:r w:rsidRPr="00C73885">
        <w:rPr>
          <w:rFonts w:asciiTheme="majorHAnsi" w:hAnsiTheme="majorHAnsi"/>
          <w:b/>
          <w:color w:val="17365D" w:themeColor="text2" w:themeShade="BF"/>
          <w:sz w:val="26"/>
          <w:szCs w:val="26"/>
        </w:rPr>
        <w:t>SIKKIM STATE ELECTRICITY REGULATORY COMMISSIO</w:t>
      </w:r>
      <w:r>
        <w:rPr>
          <w:rFonts w:asciiTheme="majorHAnsi" w:hAnsiTheme="majorHAnsi"/>
          <w:b/>
          <w:noProof/>
          <w:color w:val="17365D" w:themeColor="text2" w:themeShade="BF"/>
          <w:sz w:val="26"/>
          <w:szCs w:val="26"/>
          <w:lang w:eastAsia="en-IN"/>
        </w:rPr>
        <w:drawing>
          <wp:inline distT="0" distB="0" distL="0" distR="0">
            <wp:extent cx="685800" cy="714375"/>
            <wp:effectExtent l="19050" t="0" r="0" b="0"/>
            <wp:docPr id="3" name="Picture 1" descr="C:\Users\lenovo\Desktop\New folder\SE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New folder\SERC_Logo.jpg"/>
                    <pic:cNvPicPr>
                      <a:picLocks noChangeAspect="1" noChangeArrowheads="1"/>
                    </pic:cNvPicPr>
                  </pic:nvPicPr>
                  <pic:blipFill>
                    <a:blip r:embed="rId9" cstate="print"/>
                    <a:srcRect/>
                    <a:stretch>
                      <a:fillRect/>
                    </a:stretch>
                  </pic:blipFill>
                  <pic:spPr bwMode="auto">
                    <a:xfrm>
                      <a:off x="0" y="0"/>
                      <a:ext cx="685800" cy="714375"/>
                    </a:xfrm>
                    <a:prstGeom prst="rect">
                      <a:avLst/>
                    </a:prstGeom>
                    <a:noFill/>
                    <a:ln w="9525">
                      <a:noFill/>
                      <a:miter lim="800000"/>
                      <a:headEnd/>
                      <a:tailEnd/>
                    </a:ln>
                  </pic:spPr>
                </pic:pic>
              </a:graphicData>
            </a:graphic>
          </wp:inline>
        </w:drawing>
      </w:r>
      <w:r w:rsidRPr="00C73885">
        <w:rPr>
          <w:rFonts w:asciiTheme="majorHAnsi" w:hAnsiTheme="majorHAnsi"/>
          <w:b/>
          <w:color w:val="17365D" w:themeColor="text2" w:themeShade="BF"/>
          <w:sz w:val="26"/>
          <w:szCs w:val="26"/>
        </w:rPr>
        <w:t>N</w:t>
      </w:r>
      <w:r>
        <w:rPr>
          <w:rFonts w:asciiTheme="majorHAnsi" w:hAnsiTheme="majorHAnsi"/>
          <w:b/>
          <w:color w:val="17365D" w:themeColor="text2" w:themeShade="BF"/>
          <w:sz w:val="26"/>
          <w:szCs w:val="26"/>
        </w:rPr>
        <w:t xml:space="preserve">    </w:t>
      </w:r>
    </w:p>
    <w:p w:rsidR="003402EA" w:rsidRPr="00C73885" w:rsidRDefault="003402EA" w:rsidP="003402EA">
      <w:pPr>
        <w:spacing w:line="240" w:lineRule="auto"/>
        <w:contextualSpacing/>
        <w:jc w:val="center"/>
        <w:rPr>
          <w:rFonts w:asciiTheme="majorHAnsi" w:hAnsiTheme="majorHAnsi"/>
          <w:b/>
          <w:color w:val="17365D" w:themeColor="text2" w:themeShade="BF"/>
          <w:sz w:val="26"/>
          <w:szCs w:val="26"/>
        </w:rPr>
      </w:pPr>
      <w:r w:rsidRPr="00C73885">
        <w:rPr>
          <w:rFonts w:asciiTheme="majorHAnsi" w:hAnsiTheme="majorHAnsi"/>
          <w:b/>
          <w:color w:val="17365D" w:themeColor="text2" w:themeShade="BF"/>
          <w:sz w:val="26"/>
          <w:szCs w:val="26"/>
        </w:rPr>
        <w:t>P. O. Tadong, Sikkim -737102</w:t>
      </w:r>
    </w:p>
    <w:p w:rsidR="003402EA" w:rsidRPr="00C73885" w:rsidRDefault="003402EA" w:rsidP="003402EA">
      <w:pPr>
        <w:spacing w:line="240" w:lineRule="auto"/>
        <w:contextualSpacing/>
        <w:jc w:val="center"/>
        <w:rPr>
          <w:rFonts w:asciiTheme="majorHAnsi" w:hAnsiTheme="majorHAnsi"/>
          <w:b/>
          <w:color w:val="17365D" w:themeColor="text2" w:themeShade="BF"/>
          <w:sz w:val="26"/>
          <w:szCs w:val="26"/>
        </w:rPr>
      </w:pPr>
      <w:r w:rsidRPr="00C73885">
        <w:rPr>
          <w:rFonts w:asciiTheme="majorHAnsi" w:hAnsiTheme="majorHAnsi"/>
          <w:b/>
          <w:color w:val="17365D" w:themeColor="text2" w:themeShade="BF"/>
          <w:sz w:val="26"/>
          <w:szCs w:val="26"/>
        </w:rPr>
        <w:t>Tel: (03592)281081, 281088, 280081, Fax. (03592) 281044</w:t>
      </w:r>
    </w:p>
    <w:p w:rsidR="003402EA" w:rsidRPr="00C73885" w:rsidRDefault="003402EA" w:rsidP="003402EA">
      <w:pPr>
        <w:spacing w:line="240" w:lineRule="auto"/>
        <w:contextualSpacing/>
        <w:jc w:val="center"/>
        <w:rPr>
          <w:rFonts w:asciiTheme="majorHAnsi" w:hAnsiTheme="majorHAnsi"/>
          <w:b/>
          <w:color w:val="17365D" w:themeColor="text2" w:themeShade="BF"/>
          <w:sz w:val="26"/>
          <w:szCs w:val="26"/>
        </w:rPr>
      </w:pPr>
      <w:r w:rsidRPr="00C73885">
        <w:rPr>
          <w:rFonts w:asciiTheme="majorHAnsi" w:hAnsiTheme="majorHAnsi"/>
          <w:b/>
          <w:color w:val="17365D" w:themeColor="text2" w:themeShade="BF"/>
          <w:sz w:val="26"/>
          <w:szCs w:val="26"/>
        </w:rPr>
        <w:t>Email: sikkim.serc@gmail.com</w:t>
      </w:r>
    </w:p>
    <w:p w:rsidR="003402EA" w:rsidRDefault="003402EA" w:rsidP="003402EA">
      <w:pPr>
        <w:spacing w:line="240" w:lineRule="auto"/>
        <w:contextualSpacing/>
        <w:jc w:val="center"/>
        <w:rPr>
          <w:rFonts w:asciiTheme="majorHAnsi" w:hAnsiTheme="majorHAnsi"/>
          <w:b/>
          <w:sz w:val="26"/>
          <w:szCs w:val="26"/>
        </w:rPr>
      </w:pPr>
    </w:p>
    <w:p w:rsidR="003402EA" w:rsidRDefault="003402EA" w:rsidP="00C57008">
      <w:pPr>
        <w:spacing w:line="240" w:lineRule="auto"/>
        <w:contextualSpacing/>
        <w:rPr>
          <w:rFonts w:asciiTheme="majorHAnsi" w:hAnsiTheme="majorHAnsi"/>
          <w:b/>
          <w:sz w:val="26"/>
          <w:szCs w:val="26"/>
        </w:rPr>
      </w:pPr>
    </w:p>
    <w:p w:rsidR="00D571A1" w:rsidRDefault="003402EA" w:rsidP="00D571A1">
      <w:pPr>
        <w:spacing w:line="240" w:lineRule="auto"/>
        <w:ind w:firstLine="720"/>
        <w:contextualSpacing/>
        <w:rPr>
          <w:rFonts w:asciiTheme="majorHAnsi" w:hAnsiTheme="majorHAnsi"/>
          <w:b/>
          <w:sz w:val="26"/>
          <w:szCs w:val="26"/>
        </w:rPr>
      </w:pPr>
      <w:r>
        <w:rPr>
          <w:rFonts w:asciiTheme="majorHAnsi" w:hAnsiTheme="majorHAnsi"/>
          <w:b/>
          <w:sz w:val="26"/>
          <w:szCs w:val="26"/>
        </w:rPr>
        <w:t>No.</w:t>
      </w:r>
      <w:r w:rsidR="00D571A1">
        <w:rPr>
          <w:rFonts w:asciiTheme="majorHAnsi" w:hAnsiTheme="majorHAnsi"/>
          <w:b/>
          <w:sz w:val="26"/>
          <w:szCs w:val="26"/>
        </w:rPr>
        <w:tab/>
      </w:r>
      <w:r w:rsidR="004A2D7D">
        <w:rPr>
          <w:rFonts w:asciiTheme="majorHAnsi" w:hAnsiTheme="majorHAnsi"/>
          <w:b/>
          <w:sz w:val="26"/>
          <w:szCs w:val="26"/>
        </w:rPr>
        <w:t xml:space="preserve">1041/SSERC2012-13/109               </w:t>
      </w:r>
      <w:r w:rsidR="002C30B3">
        <w:rPr>
          <w:rFonts w:asciiTheme="majorHAnsi" w:hAnsiTheme="majorHAnsi"/>
          <w:b/>
          <w:sz w:val="26"/>
          <w:szCs w:val="26"/>
        </w:rPr>
        <w:tab/>
      </w:r>
      <w:r w:rsidR="002C30B3">
        <w:rPr>
          <w:rFonts w:asciiTheme="majorHAnsi" w:hAnsiTheme="majorHAnsi"/>
          <w:b/>
          <w:sz w:val="26"/>
          <w:szCs w:val="26"/>
        </w:rPr>
        <w:tab/>
      </w:r>
      <w:r w:rsidR="00D571A1">
        <w:rPr>
          <w:rFonts w:asciiTheme="majorHAnsi" w:hAnsiTheme="majorHAnsi"/>
          <w:b/>
          <w:sz w:val="26"/>
          <w:szCs w:val="26"/>
        </w:rPr>
        <w:t>Date: 24</w:t>
      </w:r>
      <w:r>
        <w:rPr>
          <w:rFonts w:asciiTheme="majorHAnsi" w:hAnsiTheme="majorHAnsi"/>
          <w:b/>
          <w:sz w:val="26"/>
          <w:szCs w:val="26"/>
        </w:rPr>
        <w:t>.06.201</w:t>
      </w:r>
      <w:r w:rsidR="00D571A1">
        <w:rPr>
          <w:rFonts w:asciiTheme="majorHAnsi" w:hAnsiTheme="majorHAnsi"/>
          <w:b/>
          <w:sz w:val="26"/>
          <w:szCs w:val="26"/>
        </w:rPr>
        <w:t>5</w:t>
      </w:r>
    </w:p>
    <w:p w:rsidR="00D571A1" w:rsidRDefault="00D571A1" w:rsidP="00D571A1">
      <w:pPr>
        <w:pStyle w:val="NoSpacing"/>
        <w:spacing w:line="360" w:lineRule="auto"/>
        <w:rPr>
          <w:rFonts w:cstheme="minorHAnsi"/>
          <w:b/>
          <w:color w:val="000000" w:themeColor="text1"/>
          <w:sz w:val="30"/>
          <w:szCs w:val="24"/>
          <w:u w:val="single"/>
        </w:rPr>
      </w:pPr>
    </w:p>
    <w:p w:rsidR="00D571A1" w:rsidRDefault="00D571A1" w:rsidP="00D571A1">
      <w:pPr>
        <w:pStyle w:val="NoSpacing"/>
        <w:spacing w:line="360" w:lineRule="auto"/>
        <w:jc w:val="center"/>
        <w:rPr>
          <w:rFonts w:cstheme="minorHAnsi"/>
          <w:b/>
          <w:color w:val="000000" w:themeColor="text1"/>
          <w:sz w:val="30"/>
          <w:szCs w:val="24"/>
          <w:u w:val="single"/>
        </w:rPr>
      </w:pPr>
    </w:p>
    <w:p w:rsidR="00D571A1" w:rsidRPr="003D239A" w:rsidRDefault="00D571A1" w:rsidP="00D571A1">
      <w:pPr>
        <w:pStyle w:val="NoSpacing"/>
        <w:spacing w:line="360" w:lineRule="auto"/>
        <w:jc w:val="center"/>
        <w:rPr>
          <w:rFonts w:cstheme="minorHAnsi"/>
          <w:b/>
          <w:color w:val="000000" w:themeColor="text1"/>
          <w:sz w:val="30"/>
          <w:szCs w:val="24"/>
          <w:u w:val="single"/>
        </w:rPr>
      </w:pPr>
      <w:r w:rsidRPr="003D239A">
        <w:rPr>
          <w:rFonts w:cstheme="minorHAnsi"/>
          <w:b/>
          <w:color w:val="000000" w:themeColor="text1"/>
          <w:sz w:val="30"/>
          <w:szCs w:val="24"/>
          <w:u w:val="single"/>
        </w:rPr>
        <w:t>Notice Inviting Tenders (NIT)</w:t>
      </w:r>
    </w:p>
    <w:p w:rsidR="00D571A1" w:rsidRPr="003D239A" w:rsidRDefault="00D571A1" w:rsidP="00D571A1">
      <w:pPr>
        <w:pStyle w:val="NoSpacing"/>
        <w:spacing w:line="360" w:lineRule="auto"/>
        <w:jc w:val="center"/>
        <w:rPr>
          <w:rFonts w:cstheme="minorHAnsi"/>
          <w:color w:val="000000" w:themeColor="text1"/>
          <w:sz w:val="24"/>
          <w:szCs w:val="24"/>
        </w:rPr>
      </w:pPr>
    </w:p>
    <w:p w:rsidR="00D571A1" w:rsidRPr="003D239A" w:rsidRDefault="00D571A1" w:rsidP="00D571A1">
      <w:pPr>
        <w:spacing w:line="360" w:lineRule="auto"/>
        <w:ind w:left="720"/>
        <w:jc w:val="both"/>
        <w:rPr>
          <w:rFonts w:cstheme="minorHAnsi"/>
          <w:color w:val="000000" w:themeColor="text1"/>
          <w:sz w:val="24"/>
          <w:szCs w:val="24"/>
        </w:rPr>
      </w:pPr>
      <w:r w:rsidRPr="003D239A">
        <w:rPr>
          <w:color w:val="000000" w:themeColor="text1"/>
          <w:sz w:val="24"/>
          <w:szCs w:val="24"/>
        </w:rPr>
        <w:t>Sikkim State Electricity Regulatory Commission (SSERC) intends to engage technically qualified and experienced Consultant from professionally managed Consultancy Firms/ Institutions in order to effectively assist the Commission in discharging its functions for a period of one year  and to provide consultancy to the Commission in the matter of framing of new Regulations and amendments to existing Regulations, analysing Annual Revenue Requirements (ARRs) and determination of Multi-Year Retail Supply and Wheeling Tariffs / Transmission Charges / SLDC Fees and Charges / Capital costs of Generation Projects (including Annual Fixed Charges and Generation Tariffs) and other related matters in respect of all or any of the tasks/jobs mentioned hereunder:</w:t>
      </w:r>
    </w:p>
    <w:p w:rsidR="00D571A1" w:rsidRPr="003D239A" w:rsidRDefault="00D571A1" w:rsidP="00D571A1">
      <w:pPr>
        <w:pStyle w:val="NoSpacing"/>
        <w:jc w:val="both"/>
        <w:rPr>
          <w:rFonts w:cstheme="minorHAnsi"/>
          <w:b/>
          <w:color w:val="000000" w:themeColor="text1"/>
          <w:sz w:val="24"/>
          <w:szCs w:val="24"/>
          <w:u w:val="single"/>
        </w:rPr>
      </w:pPr>
      <w:r w:rsidRPr="003D239A">
        <w:rPr>
          <w:rFonts w:cstheme="minorHAnsi"/>
          <w:color w:val="000000" w:themeColor="text1"/>
          <w:sz w:val="24"/>
          <w:szCs w:val="24"/>
        </w:rPr>
        <w:tab/>
      </w:r>
      <w:r w:rsidRPr="003D239A">
        <w:rPr>
          <w:rFonts w:cstheme="minorHAnsi"/>
          <w:b/>
          <w:color w:val="000000" w:themeColor="text1"/>
          <w:sz w:val="24"/>
          <w:szCs w:val="24"/>
          <w:u w:val="single"/>
        </w:rPr>
        <w:t>Scope and Nature of works/services:</w:t>
      </w:r>
    </w:p>
    <w:p w:rsidR="00D571A1" w:rsidRPr="003D239A" w:rsidRDefault="00D571A1" w:rsidP="00D571A1">
      <w:pPr>
        <w:pStyle w:val="NoSpacing"/>
        <w:spacing w:line="360" w:lineRule="auto"/>
        <w:jc w:val="both"/>
        <w:rPr>
          <w:rFonts w:cstheme="minorHAnsi"/>
          <w:b/>
          <w:color w:val="000000" w:themeColor="text1"/>
          <w:sz w:val="24"/>
          <w:szCs w:val="24"/>
          <w:u w:val="single"/>
        </w:rPr>
      </w:pPr>
      <w:r w:rsidRPr="003D239A">
        <w:rPr>
          <w:rFonts w:cstheme="minorHAnsi"/>
          <w:b/>
          <w:color w:val="000000" w:themeColor="text1"/>
          <w:sz w:val="24"/>
          <w:szCs w:val="24"/>
          <w:u w:val="single"/>
        </w:rPr>
        <w:t xml:space="preserve">           </w:t>
      </w:r>
    </w:p>
    <w:p w:rsidR="00D571A1" w:rsidRPr="003D239A" w:rsidRDefault="00D571A1" w:rsidP="00D571A1">
      <w:pPr>
        <w:pStyle w:val="NoSpacing"/>
        <w:numPr>
          <w:ilvl w:val="0"/>
          <w:numId w:val="4"/>
        </w:numPr>
        <w:spacing w:line="360" w:lineRule="auto"/>
        <w:jc w:val="both"/>
        <w:rPr>
          <w:rFonts w:cstheme="minorHAnsi"/>
          <w:color w:val="000000" w:themeColor="text1"/>
          <w:sz w:val="24"/>
          <w:szCs w:val="24"/>
        </w:rPr>
      </w:pPr>
      <w:r w:rsidRPr="003D239A">
        <w:rPr>
          <w:rFonts w:cstheme="minorHAnsi"/>
          <w:color w:val="000000" w:themeColor="text1"/>
          <w:sz w:val="24"/>
          <w:szCs w:val="24"/>
        </w:rPr>
        <w:t>Formulation/Framing/Drafting of new Regulations as referred to by the Commission.</w:t>
      </w:r>
    </w:p>
    <w:p w:rsidR="00D571A1" w:rsidRPr="003D239A" w:rsidRDefault="00D571A1" w:rsidP="00D571A1">
      <w:pPr>
        <w:pStyle w:val="NoSpacing"/>
        <w:numPr>
          <w:ilvl w:val="0"/>
          <w:numId w:val="4"/>
        </w:numPr>
        <w:spacing w:line="360" w:lineRule="auto"/>
        <w:jc w:val="both"/>
        <w:rPr>
          <w:rFonts w:cstheme="minorHAnsi"/>
          <w:color w:val="000000" w:themeColor="text1"/>
          <w:sz w:val="24"/>
          <w:szCs w:val="24"/>
        </w:rPr>
      </w:pPr>
      <w:r w:rsidRPr="003D239A">
        <w:rPr>
          <w:rFonts w:cstheme="minorHAnsi"/>
          <w:color w:val="000000" w:themeColor="text1"/>
          <w:sz w:val="24"/>
          <w:szCs w:val="24"/>
        </w:rPr>
        <w:t>Revision/Amendment of existing Rules and Regulations issued by the Commission.</w:t>
      </w:r>
    </w:p>
    <w:p w:rsidR="00D571A1" w:rsidRPr="003D239A" w:rsidRDefault="00D571A1" w:rsidP="00D571A1">
      <w:pPr>
        <w:pStyle w:val="NoSpacing"/>
        <w:numPr>
          <w:ilvl w:val="0"/>
          <w:numId w:val="4"/>
        </w:numPr>
        <w:spacing w:line="360" w:lineRule="auto"/>
        <w:jc w:val="both"/>
        <w:rPr>
          <w:rFonts w:cstheme="minorHAnsi"/>
          <w:color w:val="000000" w:themeColor="text1"/>
          <w:sz w:val="24"/>
          <w:szCs w:val="24"/>
        </w:rPr>
      </w:pPr>
      <w:r w:rsidRPr="003D239A">
        <w:rPr>
          <w:rFonts w:cstheme="minorHAnsi"/>
          <w:color w:val="000000" w:themeColor="text1"/>
          <w:sz w:val="24"/>
          <w:szCs w:val="24"/>
        </w:rPr>
        <w:t>Analysis of Tariff Petition(s) for determination of Annual Revenue Requirement  (ARR) and Tariffs under single year/ Multi Year Tariff  regime, Petitions to be filed by Transmission, Generation and Distribution Utilities before the Commission and attending public hearings to be conducted by the Commission.</w:t>
      </w:r>
    </w:p>
    <w:p w:rsidR="00D571A1" w:rsidRPr="003D239A" w:rsidRDefault="00D571A1" w:rsidP="00D571A1">
      <w:pPr>
        <w:pStyle w:val="NoSpacing"/>
        <w:numPr>
          <w:ilvl w:val="0"/>
          <w:numId w:val="4"/>
        </w:numPr>
        <w:spacing w:line="360" w:lineRule="auto"/>
        <w:jc w:val="both"/>
        <w:rPr>
          <w:rFonts w:cstheme="minorHAnsi"/>
          <w:color w:val="000000" w:themeColor="text1"/>
          <w:sz w:val="24"/>
          <w:szCs w:val="24"/>
        </w:rPr>
      </w:pPr>
      <w:r w:rsidRPr="003D239A">
        <w:rPr>
          <w:rFonts w:cstheme="minorHAnsi"/>
          <w:color w:val="000000" w:themeColor="text1"/>
          <w:sz w:val="24"/>
          <w:szCs w:val="24"/>
        </w:rPr>
        <w:t>True up of earlier Tariff Order(s) based on the True up petition(s) to be filed by the utilities.</w:t>
      </w:r>
    </w:p>
    <w:p w:rsidR="00D571A1" w:rsidRPr="003D239A" w:rsidRDefault="00D571A1" w:rsidP="00D571A1">
      <w:pPr>
        <w:pStyle w:val="NoSpacing"/>
        <w:numPr>
          <w:ilvl w:val="0"/>
          <w:numId w:val="4"/>
        </w:numPr>
        <w:spacing w:line="360" w:lineRule="auto"/>
        <w:jc w:val="both"/>
        <w:rPr>
          <w:rFonts w:cstheme="minorHAnsi"/>
          <w:color w:val="000000" w:themeColor="text1"/>
          <w:sz w:val="24"/>
          <w:szCs w:val="24"/>
        </w:rPr>
      </w:pPr>
      <w:r w:rsidRPr="003D239A">
        <w:rPr>
          <w:rFonts w:cstheme="minorHAnsi"/>
          <w:color w:val="000000" w:themeColor="text1"/>
          <w:sz w:val="24"/>
          <w:szCs w:val="24"/>
        </w:rPr>
        <w:lastRenderedPageBreak/>
        <w:t>Annual Performance Review of Orders for Transmission, Generation and Distribution Utilities.</w:t>
      </w:r>
    </w:p>
    <w:p w:rsidR="00D571A1" w:rsidRPr="003D239A" w:rsidRDefault="00D571A1" w:rsidP="00D571A1">
      <w:pPr>
        <w:pStyle w:val="NoSpacing"/>
        <w:numPr>
          <w:ilvl w:val="0"/>
          <w:numId w:val="4"/>
        </w:numPr>
        <w:spacing w:line="360" w:lineRule="auto"/>
        <w:jc w:val="both"/>
        <w:rPr>
          <w:rFonts w:cstheme="minorHAnsi"/>
          <w:color w:val="000000" w:themeColor="text1"/>
          <w:sz w:val="24"/>
          <w:szCs w:val="24"/>
        </w:rPr>
      </w:pPr>
      <w:r w:rsidRPr="003D239A">
        <w:rPr>
          <w:rFonts w:cstheme="minorHAnsi"/>
          <w:color w:val="000000" w:themeColor="text1"/>
          <w:sz w:val="24"/>
          <w:szCs w:val="24"/>
        </w:rPr>
        <w:t>Disposal of Review Petitions filed before the Commission.</w:t>
      </w:r>
    </w:p>
    <w:p w:rsidR="00D571A1" w:rsidRPr="002A5B11" w:rsidRDefault="00D571A1" w:rsidP="00D571A1">
      <w:pPr>
        <w:pStyle w:val="NoSpacing"/>
        <w:numPr>
          <w:ilvl w:val="0"/>
          <w:numId w:val="4"/>
        </w:numPr>
        <w:spacing w:line="360" w:lineRule="auto"/>
        <w:jc w:val="both"/>
        <w:rPr>
          <w:rFonts w:cstheme="minorHAnsi"/>
          <w:color w:val="000000" w:themeColor="text1"/>
          <w:sz w:val="24"/>
          <w:szCs w:val="24"/>
        </w:rPr>
      </w:pPr>
      <w:r w:rsidRPr="002A5B11">
        <w:rPr>
          <w:rFonts w:cstheme="minorHAnsi"/>
          <w:color w:val="000000" w:themeColor="text1"/>
          <w:sz w:val="24"/>
          <w:szCs w:val="24"/>
        </w:rPr>
        <w:t>Assistance in disposal of Petitions filed before the APTEL.</w:t>
      </w:r>
    </w:p>
    <w:p w:rsidR="00D571A1" w:rsidRPr="003D239A" w:rsidRDefault="00D571A1" w:rsidP="00D571A1">
      <w:pPr>
        <w:pStyle w:val="NoSpacing"/>
        <w:numPr>
          <w:ilvl w:val="0"/>
          <w:numId w:val="4"/>
        </w:numPr>
        <w:spacing w:line="360" w:lineRule="auto"/>
        <w:jc w:val="both"/>
        <w:rPr>
          <w:rFonts w:cstheme="minorHAnsi"/>
          <w:color w:val="000000" w:themeColor="text1"/>
          <w:sz w:val="24"/>
          <w:szCs w:val="24"/>
        </w:rPr>
      </w:pPr>
      <w:r w:rsidRPr="003D239A">
        <w:rPr>
          <w:rFonts w:cstheme="minorHAnsi"/>
          <w:color w:val="000000" w:themeColor="text1"/>
          <w:sz w:val="24"/>
          <w:szCs w:val="24"/>
        </w:rPr>
        <w:t>Rendering Advisory Services on issues to be referred by the Commission from time to time on yearly basis.</w:t>
      </w:r>
    </w:p>
    <w:p w:rsidR="00D571A1" w:rsidRPr="003D239A" w:rsidRDefault="00D571A1" w:rsidP="00D571A1">
      <w:pPr>
        <w:pStyle w:val="NoSpacing"/>
        <w:numPr>
          <w:ilvl w:val="0"/>
          <w:numId w:val="4"/>
        </w:numPr>
        <w:spacing w:line="360" w:lineRule="auto"/>
        <w:jc w:val="both"/>
        <w:rPr>
          <w:rFonts w:cstheme="minorHAnsi"/>
          <w:color w:val="000000" w:themeColor="text1"/>
          <w:sz w:val="24"/>
          <w:szCs w:val="24"/>
        </w:rPr>
      </w:pPr>
      <w:r w:rsidRPr="003D239A">
        <w:rPr>
          <w:rFonts w:cstheme="minorHAnsi"/>
          <w:color w:val="000000" w:themeColor="text1"/>
          <w:sz w:val="24"/>
          <w:szCs w:val="24"/>
        </w:rPr>
        <w:t>Interaction/Discussions with Officers and other personnel of the Commission on matters requiring expert advice/inputs including visits to the Commission’s Office as and when required.</w:t>
      </w:r>
    </w:p>
    <w:p w:rsidR="00D571A1" w:rsidRPr="003D239A" w:rsidRDefault="00D571A1" w:rsidP="00D571A1">
      <w:pPr>
        <w:pStyle w:val="NoSpacing"/>
        <w:numPr>
          <w:ilvl w:val="0"/>
          <w:numId w:val="4"/>
        </w:numPr>
        <w:spacing w:line="360" w:lineRule="auto"/>
        <w:jc w:val="both"/>
        <w:rPr>
          <w:rFonts w:cstheme="minorHAnsi"/>
          <w:color w:val="000000" w:themeColor="text1"/>
          <w:sz w:val="24"/>
          <w:szCs w:val="24"/>
        </w:rPr>
      </w:pPr>
      <w:r w:rsidRPr="003D239A">
        <w:rPr>
          <w:rFonts w:cstheme="minorHAnsi"/>
          <w:color w:val="000000" w:themeColor="text1"/>
          <w:sz w:val="24"/>
          <w:szCs w:val="24"/>
        </w:rPr>
        <w:t>Providing Capacity Building by imparting Training to the Officers and Staffs of the Commission at Commission Head Quarter.</w:t>
      </w:r>
    </w:p>
    <w:p w:rsidR="00D571A1" w:rsidRPr="003D239A" w:rsidRDefault="00D571A1" w:rsidP="00D571A1">
      <w:pPr>
        <w:pStyle w:val="NoSpacing"/>
        <w:numPr>
          <w:ilvl w:val="0"/>
          <w:numId w:val="4"/>
        </w:numPr>
        <w:spacing w:line="360" w:lineRule="auto"/>
        <w:jc w:val="both"/>
        <w:rPr>
          <w:rFonts w:cstheme="minorHAnsi"/>
          <w:color w:val="000000" w:themeColor="text1"/>
          <w:sz w:val="24"/>
          <w:szCs w:val="24"/>
        </w:rPr>
      </w:pPr>
      <w:r w:rsidRPr="003D239A">
        <w:rPr>
          <w:rFonts w:cstheme="minorHAnsi"/>
          <w:color w:val="000000" w:themeColor="text1"/>
          <w:sz w:val="24"/>
          <w:szCs w:val="24"/>
        </w:rPr>
        <w:t>Making site visits along-with the Commission personnel to inspect, assess and make other technical/legal/regulatory assessment   of electrical installations/equipments etc including preparation and submission of reports as and when referred to by the Commission.</w:t>
      </w:r>
    </w:p>
    <w:p w:rsidR="00D571A1" w:rsidRPr="003D239A" w:rsidRDefault="00D571A1" w:rsidP="00D571A1">
      <w:pPr>
        <w:pStyle w:val="NoSpacing"/>
        <w:ind w:left="1080"/>
        <w:jc w:val="both"/>
        <w:rPr>
          <w:rFonts w:cstheme="minorHAnsi"/>
          <w:b/>
          <w:color w:val="000000" w:themeColor="text1"/>
          <w:sz w:val="24"/>
          <w:szCs w:val="24"/>
          <w:u w:val="single"/>
        </w:rPr>
      </w:pPr>
    </w:p>
    <w:p w:rsidR="00D571A1" w:rsidRPr="003D239A" w:rsidRDefault="00D571A1" w:rsidP="00D571A1">
      <w:pPr>
        <w:spacing w:line="360" w:lineRule="auto"/>
        <w:ind w:firstLine="720"/>
        <w:rPr>
          <w:rFonts w:cstheme="minorHAnsi"/>
          <w:b/>
          <w:color w:val="000000" w:themeColor="text1"/>
          <w:sz w:val="24"/>
          <w:szCs w:val="24"/>
          <w:u w:val="single"/>
        </w:rPr>
      </w:pPr>
      <w:r w:rsidRPr="003D239A">
        <w:rPr>
          <w:rFonts w:cstheme="minorHAnsi"/>
          <w:b/>
          <w:color w:val="000000" w:themeColor="text1"/>
          <w:sz w:val="24"/>
          <w:szCs w:val="24"/>
          <w:u w:val="single"/>
        </w:rPr>
        <w:t xml:space="preserve">Eligibility and Qualification Requirements for Bidding: </w:t>
      </w:r>
    </w:p>
    <w:p w:rsidR="00D571A1" w:rsidRPr="003D239A" w:rsidRDefault="00D571A1" w:rsidP="00D571A1">
      <w:pPr>
        <w:spacing w:line="360" w:lineRule="auto"/>
        <w:ind w:left="720"/>
        <w:rPr>
          <w:rFonts w:cstheme="minorHAnsi"/>
          <w:color w:val="000000" w:themeColor="text1"/>
          <w:sz w:val="24"/>
          <w:szCs w:val="24"/>
        </w:rPr>
      </w:pPr>
      <w:r w:rsidRPr="003D239A">
        <w:rPr>
          <w:rFonts w:cstheme="minorHAnsi"/>
          <w:color w:val="000000" w:themeColor="text1"/>
          <w:sz w:val="24"/>
          <w:szCs w:val="24"/>
        </w:rPr>
        <w:t xml:space="preserve">This Invitation to Bid is open to the Consultants who meet the following criteria:- </w:t>
      </w:r>
    </w:p>
    <w:p w:rsidR="00D571A1" w:rsidRPr="003D239A" w:rsidRDefault="00D571A1" w:rsidP="00D571A1">
      <w:pPr>
        <w:pStyle w:val="ListParagraph"/>
        <w:numPr>
          <w:ilvl w:val="0"/>
          <w:numId w:val="5"/>
        </w:numPr>
        <w:spacing w:line="360" w:lineRule="auto"/>
        <w:jc w:val="both"/>
        <w:rPr>
          <w:rFonts w:cstheme="minorHAnsi"/>
          <w:color w:val="000000" w:themeColor="text1"/>
          <w:sz w:val="24"/>
          <w:szCs w:val="24"/>
        </w:rPr>
      </w:pPr>
      <w:r w:rsidRPr="003D239A">
        <w:rPr>
          <w:rFonts w:cstheme="minorHAnsi"/>
          <w:color w:val="000000" w:themeColor="text1"/>
          <w:sz w:val="24"/>
          <w:szCs w:val="24"/>
        </w:rPr>
        <w:t>The Consultant / Bidder shall possess adequate experience in the field of Tariff Filing/Analysis of Tariff Petitions filed (MYT) and drafting Tariff Orders/ Review Petitions / Designing and other regulatory matters and shall be well acquainted with the Regulatory environment in the power sector, functioning of Utilities/ Central Electricity Authority and CERC/SERCs, and shall possess experience in dealing with such similar matters on a wide range. The Consultant / Bidder shall have been undertaking similar consultancy during the last three (3) years. Details of consultancy assignments completed in the last 3 years may be furnished in Annexure.</w:t>
      </w:r>
    </w:p>
    <w:p w:rsidR="00D571A1" w:rsidRPr="003D239A" w:rsidRDefault="00D571A1" w:rsidP="00D571A1">
      <w:pPr>
        <w:pStyle w:val="ListParagraph"/>
        <w:numPr>
          <w:ilvl w:val="0"/>
          <w:numId w:val="5"/>
        </w:numPr>
        <w:spacing w:line="360" w:lineRule="auto"/>
        <w:jc w:val="both"/>
        <w:rPr>
          <w:rFonts w:cstheme="minorHAnsi"/>
          <w:color w:val="000000" w:themeColor="text1"/>
          <w:sz w:val="24"/>
          <w:szCs w:val="24"/>
        </w:rPr>
      </w:pPr>
      <w:r w:rsidRPr="003D239A">
        <w:rPr>
          <w:rFonts w:cstheme="minorHAnsi"/>
          <w:color w:val="000000" w:themeColor="text1"/>
          <w:sz w:val="24"/>
          <w:szCs w:val="24"/>
        </w:rPr>
        <w:t>The Consultant/ Bidder must have sound understanding and adequate technical knowledge and practical experience in the following:-</w:t>
      </w:r>
    </w:p>
    <w:p w:rsidR="00D571A1" w:rsidRPr="00C31A9D" w:rsidRDefault="00D571A1" w:rsidP="00D571A1">
      <w:pPr>
        <w:pStyle w:val="ListParagraph"/>
        <w:numPr>
          <w:ilvl w:val="0"/>
          <w:numId w:val="6"/>
        </w:numPr>
        <w:spacing w:line="360" w:lineRule="auto"/>
        <w:jc w:val="both"/>
        <w:rPr>
          <w:rFonts w:cstheme="minorHAnsi"/>
          <w:color w:val="000000" w:themeColor="text1"/>
          <w:sz w:val="24"/>
          <w:szCs w:val="24"/>
        </w:rPr>
      </w:pPr>
      <w:r w:rsidRPr="00C31A9D">
        <w:rPr>
          <w:rFonts w:cstheme="minorHAnsi"/>
          <w:color w:val="000000" w:themeColor="text1"/>
          <w:sz w:val="24"/>
          <w:szCs w:val="24"/>
        </w:rPr>
        <w:t xml:space="preserve">Legal framework governing the power-sector; </w:t>
      </w:r>
    </w:p>
    <w:p w:rsidR="00D571A1" w:rsidRPr="003D239A" w:rsidRDefault="00D571A1" w:rsidP="00D571A1">
      <w:pPr>
        <w:spacing w:line="360" w:lineRule="auto"/>
        <w:ind w:left="1701" w:hanging="283"/>
        <w:jc w:val="both"/>
        <w:rPr>
          <w:rFonts w:cstheme="minorHAnsi"/>
          <w:color w:val="000000" w:themeColor="text1"/>
          <w:sz w:val="24"/>
          <w:szCs w:val="24"/>
        </w:rPr>
      </w:pPr>
      <w:r w:rsidRPr="003D239A">
        <w:rPr>
          <w:rFonts w:cstheme="minorHAnsi"/>
          <w:color w:val="000000" w:themeColor="text1"/>
          <w:sz w:val="24"/>
          <w:szCs w:val="24"/>
        </w:rPr>
        <w:t xml:space="preserve">ii) Economic and commercial aspects of power generation, transmission including system operation and distribution including trading and related matters; </w:t>
      </w:r>
    </w:p>
    <w:p w:rsidR="00D571A1" w:rsidRPr="003D239A" w:rsidRDefault="00D571A1" w:rsidP="00D571A1">
      <w:pPr>
        <w:spacing w:line="360" w:lineRule="auto"/>
        <w:ind w:left="1701" w:hanging="283"/>
        <w:jc w:val="both"/>
        <w:rPr>
          <w:rFonts w:cstheme="minorHAnsi"/>
          <w:color w:val="000000" w:themeColor="text1"/>
          <w:sz w:val="24"/>
          <w:szCs w:val="24"/>
        </w:rPr>
      </w:pPr>
      <w:r w:rsidRPr="003D239A">
        <w:rPr>
          <w:rFonts w:cstheme="minorHAnsi"/>
          <w:color w:val="000000" w:themeColor="text1"/>
          <w:sz w:val="24"/>
          <w:szCs w:val="24"/>
        </w:rPr>
        <w:t xml:space="preserve">iii) Financial analysis and accounting; </w:t>
      </w:r>
    </w:p>
    <w:p w:rsidR="00D571A1" w:rsidRPr="003D239A" w:rsidRDefault="00D571A1" w:rsidP="00D571A1">
      <w:pPr>
        <w:spacing w:line="360" w:lineRule="auto"/>
        <w:ind w:left="1701" w:hanging="283"/>
        <w:jc w:val="both"/>
        <w:rPr>
          <w:rFonts w:cstheme="minorHAnsi"/>
          <w:color w:val="000000" w:themeColor="text1"/>
          <w:sz w:val="24"/>
          <w:szCs w:val="24"/>
        </w:rPr>
      </w:pPr>
      <w:r w:rsidRPr="003D239A">
        <w:rPr>
          <w:rFonts w:cstheme="minorHAnsi"/>
          <w:color w:val="000000" w:themeColor="text1"/>
          <w:sz w:val="24"/>
          <w:szCs w:val="24"/>
        </w:rPr>
        <w:lastRenderedPageBreak/>
        <w:t xml:space="preserve">iv) Experience of Analysis of Tariff Petitions to determine ARR and Tariffs under MYT framework for licensees and generators and filing Tariff Petitions before the Commission on behalf of them and/or experience of designing and implementing MYT framework for CERC/SERCs and framing Regulations and analysing ARR and Tariff petitions filed before the Commissions; </w:t>
      </w:r>
    </w:p>
    <w:p w:rsidR="00D571A1" w:rsidRPr="003D239A" w:rsidRDefault="00D571A1" w:rsidP="00D571A1">
      <w:pPr>
        <w:spacing w:line="360" w:lineRule="auto"/>
        <w:ind w:left="1701" w:hanging="283"/>
        <w:jc w:val="both"/>
        <w:rPr>
          <w:rFonts w:cstheme="minorHAnsi"/>
          <w:color w:val="000000" w:themeColor="text1"/>
          <w:sz w:val="24"/>
          <w:szCs w:val="24"/>
        </w:rPr>
      </w:pPr>
      <w:r w:rsidRPr="003D239A">
        <w:rPr>
          <w:rFonts w:cstheme="minorHAnsi"/>
          <w:color w:val="000000" w:themeColor="text1"/>
          <w:sz w:val="24"/>
          <w:szCs w:val="24"/>
        </w:rPr>
        <w:t>v) Regulatory processes and policies.</w:t>
      </w:r>
    </w:p>
    <w:p w:rsidR="00D571A1" w:rsidRPr="003D239A" w:rsidRDefault="00D571A1" w:rsidP="00D571A1">
      <w:pPr>
        <w:spacing w:line="360" w:lineRule="auto"/>
        <w:ind w:left="1418" w:hanging="425"/>
        <w:jc w:val="both"/>
        <w:rPr>
          <w:rFonts w:cstheme="minorHAnsi"/>
          <w:color w:val="000000" w:themeColor="text1"/>
          <w:sz w:val="24"/>
          <w:szCs w:val="24"/>
        </w:rPr>
      </w:pPr>
      <w:r w:rsidRPr="003D239A">
        <w:rPr>
          <w:rFonts w:cstheme="minorHAnsi"/>
          <w:color w:val="000000" w:themeColor="text1"/>
          <w:sz w:val="24"/>
          <w:szCs w:val="24"/>
        </w:rPr>
        <w:t xml:space="preserve"> (c) The Consultant / Bidder shall have a qualified team of personnel to execute the Assignment. The professionals proposed for the Assignment by the Bidder are expected to have completed in the past, at least one Assignment of preparation of Annual Revenue Requirements (ARRs) and tariff proposals on behalf of Licensees/ Power Utilities for the filing of these before State Regulatory Commission, and/or, should have experience of analyzing the ARR and tariff petitions filed by the electricity Utilities before the CERC/ SERCs. The Bidder is required to submit CVs of professionals in support of the individual experience. </w:t>
      </w:r>
    </w:p>
    <w:p w:rsidR="00D571A1" w:rsidRPr="003D239A" w:rsidRDefault="00D571A1" w:rsidP="00D571A1">
      <w:pPr>
        <w:spacing w:line="360" w:lineRule="auto"/>
        <w:ind w:left="1418" w:hanging="425"/>
        <w:jc w:val="both"/>
        <w:rPr>
          <w:rFonts w:cstheme="minorHAnsi"/>
          <w:color w:val="000000" w:themeColor="text1"/>
          <w:sz w:val="24"/>
          <w:szCs w:val="24"/>
        </w:rPr>
      </w:pPr>
      <w:r w:rsidRPr="003D239A">
        <w:rPr>
          <w:rFonts w:cstheme="minorHAnsi"/>
          <w:color w:val="000000" w:themeColor="text1"/>
          <w:sz w:val="24"/>
          <w:szCs w:val="24"/>
        </w:rPr>
        <w:t xml:space="preserve">(d) So as not to result in any delay in processing the ARRs and Tariff petitions filed before the Commission, the Consultant shall commit full time manpower on regular employment exclusively for the Assignments. </w:t>
      </w:r>
    </w:p>
    <w:p w:rsidR="00D571A1" w:rsidRPr="003D239A" w:rsidRDefault="00D571A1" w:rsidP="00D571A1">
      <w:pPr>
        <w:spacing w:line="360" w:lineRule="auto"/>
        <w:ind w:left="1418" w:hanging="425"/>
        <w:jc w:val="both"/>
        <w:rPr>
          <w:rFonts w:cstheme="minorHAnsi"/>
          <w:color w:val="000000" w:themeColor="text1"/>
          <w:sz w:val="24"/>
          <w:szCs w:val="24"/>
        </w:rPr>
      </w:pPr>
      <w:r w:rsidRPr="003D239A">
        <w:rPr>
          <w:rFonts w:cstheme="minorHAnsi"/>
          <w:color w:val="000000" w:themeColor="text1"/>
          <w:sz w:val="24"/>
          <w:szCs w:val="24"/>
        </w:rPr>
        <w:t xml:space="preserve">(e) The Consultant / Bidder shall have adequate financial capability (Annual Turnover of Rs. 10.00 </w:t>
      </w:r>
      <w:r>
        <w:rPr>
          <w:rFonts w:cstheme="minorHAnsi"/>
          <w:color w:val="000000" w:themeColor="text1"/>
          <w:sz w:val="24"/>
          <w:szCs w:val="24"/>
        </w:rPr>
        <w:t xml:space="preserve">(ten) </w:t>
      </w:r>
      <w:r w:rsidRPr="003D239A">
        <w:rPr>
          <w:rFonts w:cstheme="minorHAnsi"/>
          <w:color w:val="000000" w:themeColor="text1"/>
          <w:sz w:val="24"/>
          <w:szCs w:val="24"/>
        </w:rPr>
        <w:t>Crore) and status to meet the financial obligations pursuant to the services covered in the Bid Document. A copy of relevant document is to be furnished for the last 3 years.</w:t>
      </w:r>
    </w:p>
    <w:p w:rsidR="00D571A1" w:rsidRPr="003D239A" w:rsidRDefault="00D571A1" w:rsidP="00D571A1">
      <w:pPr>
        <w:spacing w:line="360" w:lineRule="auto"/>
        <w:ind w:left="1418" w:hanging="425"/>
        <w:jc w:val="both"/>
        <w:rPr>
          <w:rFonts w:cstheme="minorHAnsi"/>
          <w:color w:val="000000" w:themeColor="text1"/>
          <w:sz w:val="24"/>
          <w:szCs w:val="24"/>
        </w:rPr>
      </w:pPr>
      <w:r w:rsidRPr="003D239A">
        <w:rPr>
          <w:rFonts w:cstheme="minorHAnsi"/>
          <w:color w:val="000000" w:themeColor="text1"/>
          <w:sz w:val="24"/>
          <w:szCs w:val="24"/>
        </w:rPr>
        <w:t xml:space="preserve">(f) </w:t>
      </w:r>
      <w:r w:rsidRPr="003D239A">
        <w:rPr>
          <w:rFonts w:cstheme="minorHAnsi"/>
          <w:color w:val="000000" w:themeColor="text1"/>
          <w:sz w:val="24"/>
          <w:szCs w:val="24"/>
        </w:rPr>
        <w:tab/>
        <w:t>The Consultant / Bidder should be a Body Corporate/ Registered Firm/ Legal Entity. The Bidder should furnish copies of ‘Certificate of Registration’ as services firm, PAN/TAN, and ‘Service Tax Registration’. Note: The Bidders shall submit the above details along with supporting documents along with the bid.</w:t>
      </w:r>
    </w:p>
    <w:p w:rsidR="00D571A1" w:rsidRDefault="00D571A1" w:rsidP="00D571A1">
      <w:pPr>
        <w:spacing w:line="360" w:lineRule="auto"/>
        <w:ind w:left="1418" w:hanging="425"/>
        <w:jc w:val="both"/>
        <w:rPr>
          <w:rFonts w:cstheme="minorHAnsi"/>
          <w:color w:val="000000" w:themeColor="text1"/>
          <w:sz w:val="24"/>
          <w:szCs w:val="24"/>
        </w:rPr>
      </w:pPr>
      <w:r w:rsidRPr="003D239A">
        <w:rPr>
          <w:rFonts w:cstheme="minorHAnsi"/>
          <w:color w:val="000000" w:themeColor="text1"/>
          <w:sz w:val="24"/>
          <w:szCs w:val="24"/>
        </w:rPr>
        <w:t xml:space="preserve">(g) </w:t>
      </w:r>
      <w:r w:rsidRPr="003D239A">
        <w:rPr>
          <w:rFonts w:cstheme="minorHAnsi"/>
          <w:color w:val="000000" w:themeColor="text1"/>
          <w:sz w:val="24"/>
          <w:szCs w:val="24"/>
        </w:rPr>
        <w:tab/>
        <w:t>The above requirements are minimum and the SSERC reserves the right to request for any additional information; and, also reserves the right to reject the proposal of any Bidder, if in the opinion of the SSERC the data supporting eligibility and qualification is incomplete or the Bidder is found not qualifying the basic eligibility criteria.</w:t>
      </w:r>
    </w:p>
    <w:p w:rsidR="00D571A1" w:rsidRPr="003D239A" w:rsidRDefault="00D571A1" w:rsidP="00D571A1">
      <w:pPr>
        <w:spacing w:line="360" w:lineRule="auto"/>
        <w:ind w:left="1418" w:hanging="425"/>
        <w:jc w:val="both"/>
        <w:rPr>
          <w:rFonts w:cstheme="minorHAnsi"/>
          <w:color w:val="000000" w:themeColor="text1"/>
          <w:sz w:val="24"/>
          <w:szCs w:val="24"/>
        </w:rPr>
      </w:pPr>
      <w:r w:rsidRPr="003D239A">
        <w:rPr>
          <w:rFonts w:cstheme="minorHAnsi"/>
          <w:color w:val="000000" w:themeColor="text1"/>
          <w:sz w:val="24"/>
          <w:szCs w:val="24"/>
        </w:rPr>
        <w:lastRenderedPageBreak/>
        <w:t xml:space="preserve">(h) </w:t>
      </w:r>
      <w:r w:rsidRPr="003D239A">
        <w:rPr>
          <w:rFonts w:cstheme="minorHAnsi"/>
          <w:color w:val="000000" w:themeColor="text1"/>
          <w:sz w:val="24"/>
          <w:szCs w:val="24"/>
        </w:rPr>
        <w:tab/>
      </w:r>
      <w:r w:rsidRPr="003D239A">
        <w:rPr>
          <w:color w:val="000000" w:themeColor="text1"/>
          <w:sz w:val="24"/>
          <w:szCs w:val="24"/>
        </w:rPr>
        <w:t>The Bid prepared by the Bidder and all correspondence and documents relating to the Bid exchanged by the Bidder and SSERC shall be written in English.</w:t>
      </w:r>
    </w:p>
    <w:p w:rsidR="00D571A1" w:rsidRPr="003D239A" w:rsidRDefault="00D571A1" w:rsidP="00D571A1">
      <w:pPr>
        <w:spacing w:line="360" w:lineRule="auto"/>
        <w:ind w:left="720" w:firstLine="273"/>
        <w:jc w:val="both"/>
        <w:rPr>
          <w:color w:val="000000" w:themeColor="text1"/>
          <w:sz w:val="24"/>
          <w:szCs w:val="24"/>
        </w:rPr>
      </w:pPr>
      <w:r w:rsidRPr="003D239A">
        <w:rPr>
          <w:color w:val="000000" w:themeColor="text1"/>
          <w:sz w:val="24"/>
          <w:szCs w:val="24"/>
        </w:rPr>
        <w:t>(i)</w:t>
      </w:r>
      <w:r w:rsidRPr="003D239A">
        <w:rPr>
          <w:color w:val="000000" w:themeColor="text1"/>
          <w:sz w:val="24"/>
          <w:szCs w:val="24"/>
        </w:rPr>
        <w:tab/>
        <w:t xml:space="preserve"> Price shall be quoted in Indian Rupees only.</w:t>
      </w:r>
    </w:p>
    <w:p w:rsidR="00D571A1" w:rsidRPr="003D239A" w:rsidRDefault="00D571A1" w:rsidP="00D571A1">
      <w:pPr>
        <w:spacing w:line="240" w:lineRule="auto"/>
        <w:ind w:left="1418" w:hanging="425"/>
        <w:jc w:val="both"/>
        <w:rPr>
          <w:color w:val="000000" w:themeColor="text1"/>
          <w:sz w:val="24"/>
          <w:szCs w:val="24"/>
        </w:rPr>
      </w:pPr>
      <w:r w:rsidRPr="003D239A">
        <w:rPr>
          <w:color w:val="000000" w:themeColor="text1"/>
          <w:sz w:val="24"/>
          <w:szCs w:val="24"/>
        </w:rPr>
        <w:t>(j)</w:t>
      </w:r>
      <w:r w:rsidRPr="003D239A">
        <w:rPr>
          <w:color w:val="000000" w:themeColor="text1"/>
          <w:sz w:val="24"/>
          <w:szCs w:val="24"/>
        </w:rPr>
        <w:tab/>
        <w:t>Bids should be kept valid for acceptance for a period of three (3) calendar months from the date of opening of Bids.</w:t>
      </w:r>
    </w:p>
    <w:p w:rsidR="00D571A1" w:rsidRPr="003D239A" w:rsidRDefault="00D571A1" w:rsidP="00D571A1">
      <w:pPr>
        <w:spacing w:line="240" w:lineRule="auto"/>
        <w:ind w:left="1418" w:hanging="425"/>
        <w:jc w:val="both"/>
        <w:rPr>
          <w:color w:val="000000" w:themeColor="text1"/>
          <w:sz w:val="24"/>
          <w:szCs w:val="24"/>
        </w:rPr>
      </w:pPr>
      <w:r w:rsidRPr="003D239A">
        <w:rPr>
          <w:color w:val="000000" w:themeColor="text1"/>
          <w:sz w:val="24"/>
          <w:szCs w:val="24"/>
        </w:rPr>
        <w:t xml:space="preserve">(k) </w:t>
      </w:r>
      <w:r w:rsidRPr="003D239A">
        <w:rPr>
          <w:color w:val="000000" w:themeColor="text1"/>
          <w:sz w:val="24"/>
          <w:szCs w:val="24"/>
        </w:rPr>
        <w:tab/>
        <w:t>No Processing Fees shall be charged from the Bidders. However, every Bidder at the time of submission of the Bid, shall furnish Earnest Money Deposit (EMD) of Rs 25,000/- (In words R</w:t>
      </w:r>
      <w:r w:rsidR="00703CCD">
        <w:rPr>
          <w:color w:val="000000" w:themeColor="text1"/>
          <w:sz w:val="24"/>
          <w:szCs w:val="24"/>
        </w:rPr>
        <w:t>upees</w:t>
      </w:r>
      <w:r w:rsidRPr="003D239A">
        <w:rPr>
          <w:color w:val="000000" w:themeColor="text1"/>
          <w:sz w:val="24"/>
          <w:szCs w:val="24"/>
        </w:rPr>
        <w:t xml:space="preserve"> Twenty </w:t>
      </w:r>
      <w:r w:rsidR="00703CCD">
        <w:rPr>
          <w:color w:val="000000" w:themeColor="text1"/>
          <w:sz w:val="24"/>
          <w:szCs w:val="24"/>
        </w:rPr>
        <w:t xml:space="preserve">Five </w:t>
      </w:r>
      <w:r w:rsidRPr="003D239A">
        <w:rPr>
          <w:color w:val="000000" w:themeColor="text1"/>
          <w:sz w:val="24"/>
          <w:szCs w:val="24"/>
        </w:rPr>
        <w:t xml:space="preserve">Thousand Only) in the form of Bank Guarantee in favour of the Secretary, Sikkim State Electricity Regulatory Commission, Gangtok, Sikkim with validity of 3 </w:t>
      </w:r>
      <w:r w:rsidR="00E1784C">
        <w:rPr>
          <w:color w:val="000000" w:themeColor="text1"/>
          <w:sz w:val="24"/>
          <w:szCs w:val="24"/>
        </w:rPr>
        <w:t>(three)</w:t>
      </w:r>
      <w:r w:rsidRPr="003D239A">
        <w:rPr>
          <w:color w:val="000000" w:themeColor="text1"/>
          <w:sz w:val="24"/>
          <w:szCs w:val="24"/>
        </w:rPr>
        <w:t>months. Bank Guarantee shall be returned within one month of declaration of the Evaluation result. The successful bidder shall furnish Bank Guarantee valid for 3 months of successful completion of the assignment.</w:t>
      </w:r>
    </w:p>
    <w:p w:rsidR="00EE5562" w:rsidRDefault="00D571A1" w:rsidP="00EE5562">
      <w:pPr>
        <w:spacing w:line="240" w:lineRule="auto"/>
        <w:ind w:left="1418" w:hanging="425"/>
        <w:jc w:val="both"/>
        <w:rPr>
          <w:color w:val="000000" w:themeColor="text1"/>
          <w:sz w:val="24"/>
          <w:szCs w:val="24"/>
        </w:rPr>
      </w:pPr>
      <w:r w:rsidRPr="003D239A">
        <w:rPr>
          <w:color w:val="000000" w:themeColor="text1"/>
          <w:sz w:val="24"/>
          <w:szCs w:val="24"/>
        </w:rPr>
        <w:t xml:space="preserve">(l) </w:t>
      </w:r>
      <w:r w:rsidR="00703CCD">
        <w:rPr>
          <w:color w:val="000000" w:themeColor="text1"/>
          <w:sz w:val="24"/>
          <w:szCs w:val="24"/>
        </w:rPr>
        <w:t xml:space="preserve"> </w:t>
      </w:r>
      <w:r w:rsidR="001143F2">
        <w:rPr>
          <w:color w:val="000000" w:themeColor="text1"/>
          <w:sz w:val="24"/>
          <w:szCs w:val="24"/>
        </w:rPr>
        <w:t xml:space="preserve">The sealed </w:t>
      </w:r>
      <w:r w:rsidR="001143F2" w:rsidRPr="003D239A">
        <w:rPr>
          <w:color w:val="000000" w:themeColor="text1"/>
          <w:sz w:val="24"/>
          <w:szCs w:val="24"/>
        </w:rPr>
        <w:t xml:space="preserve">Bids must be addressed to “The Director (Technical), Sikkim State Electricity Regulatory Commission, erstwhile SITCO Complex, Deorlai , P.O-Tadong, Sikkim-737102 " and </w:t>
      </w:r>
      <w:r w:rsidR="001143F2">
        <w:rPr>
          <w:color w:val="000000" w:themeColor="text1"/>
          <w:sz w:val="24"/>
          <w:szCs w:val="24"/>
        </w:rPr>
        <w:t xml:space="preserve">must be </w:t>
      </w:r>
      <w:r w:rsidR="001143F2" w:rsidRPr="003D239A">
        <w:rPr>
          <w:color w:val="000000" w:themeColor="text1"/>
          <w:sz w:val="24"/>
          <w:szCs w:val="24"/>
        </w:rPr>
        <w:t>received by 14</w:t>
      </w:r>
      <w:r w:rsidR="001143F2">
        <w:rPr>
          <w:color w:val="000000" w:themeColor="text1"/>
          <w:sz w:val="24"/>
          <w:szCs w:val="24"/>
        </w:rPr>
        <w:t>.</w:t>
      </w:r>
      <w:r w:rsidR="001143F2" w:rsidRPr="003D239A">
        <w:rPr>
          <w:color w:val="000000" w:themeColor="text1"/>
          <w:sz w:val="24"/>
          <w:szCs w:val="24"/>
        </w:rPr>
        <w:t>00 hours of 15</w:t>
      </w:r>
      <w:r w:rsidR="001143F2" w:rsidRPr="003D239A">
        <w:rPr>
          <w:color w:val="000000" w:themeColor="text1"/>
          <w:sz w:val="24"/>
          <w:szCs w:val="24"/>
          <w:vertAlign w:val="superscript"/>
        </w:rPr>
        <w:t>th</w:t>
      </w:r>
      <w:r w:rsidR="001143F2" w:rsidRPr="003D239A">
        <w:rPr>
          <w:color w:val="000000" w:themeColor="text1"/>
          <w:sz w:val="24"/>
          <w:szCs w:val="24"/>
        </w:rPr>
        <w:t xml:space="preserve"> July 2015. In the event of the date of submission of Bids being declared as holiday for SSERC, the Bids will be received upto the appointed time on the next working day. </w:t>
      </w:r>
      <w:r w:rsidR="00EE5562">
        <w:rPr>
          <w:color w:val="000000" w:themeColor="text1"/>
          <w:sz w:val="24"/>
          <w:szCs w:val="24"/>
        </w:rPr>
        <w:t>The bids must be submitted in sealed envelopes superscribed with</w:t>
      </w:r>
      <w:r w:rsidR="00EE5562">
        <w:t xml:space="preserve"> </w:t>
      </w:r>
      <w:r w:rsidR="00EE5562" w:rsidRPr="0043366A">
        <w:rPr>
          <w:b/>
        </w:rPr>
        <w:t xml:space="preserve">“Bid for Providing Consultancy Services to the SSERC” </w:t>
      </w:r>
      <w:r w:rsidR="00EE5562" w:rsidRPr="00BE153E">
        <w:t>with the Statement</w:t>
      </w:r>
      <w:r w:rsidR="00EE5562" w:rsidRPr="0043366A">
        <w:rPr>
          <w:b/>
        </w:rPr>
        <w:t xml:space="preserve"> “DO NOT OPEN BEFORE 15th July, 2015 at 15.00 Hours”.</w:t>
      </w:r>
      <w:r w:rsidR="00EE5562" w:rsidRPr="007160AF">
        <w:t xml:space="preserve"> </w:t>
      </w:r>
      <w:r w:rsidR="00EE5562">
        <w:t xml:space="preserve">The bidder shall also indicate the name and address of the Bidder so that the Bid can be returned unopened in case it is declared </w:t>
      </w:r>
      <w:r w:rsidR="00EE5562" w:rsidRPr="007160AF">
        <w:rPr>
          <w:b/>
        </w:rPr>
        <w:t>"Late"</w:t>
      </w:r>
      <w:r w:rsidR="001143F2" w:rsidRPr="003D239A">
        <w:rPr>
          <w:color w:val="000000" w:themeColor="text1"/>
          <w:sz w:val="24"/>
          <w:szCs w:val="24"/>
        </w:rPr>
        <w:t xml:space="preserve">The bids shall be opened at </w:t>
      </w:r>
      <w:r w:rsidR="001143F2" w:rsidRPr="006F1175">
        <w:rPr>
          <w:b/>
          <w:color w:val="000000" w:themeColor="text1"/>
          <w:sz w:val="24"/>
          <w:szCs w:val="24"/>
        </w:rPr>
        <w:t>15.00 hours on 15</w:t>
      </w:r>
      <w:r w:rsidR="001143F2" w:rsidRPr="006F1175">
        <w:rPr>
          <w:b/>
          <w:color w:val="000000" w:themeColor="text1"/>
          <w:sz w:val="24"/>
          <w:szCs w:val="24"/>
          <w:vertAlign w:val="superscript"/>
        </w:rPr>
        <w:t>th</w:t>
      </w:r>
      <w:r w:rsidR="001143F2" w:rsidRPr="006F1175">
        <w:rPr>
          <w:b/>
          <w:color w:val="000000" w:themeColor="text1"/>
          <w:sz w:val="24"/>
          <w:szCs w:val="24"/>
        </w:rPr>
        <w:t xml:space="preserve"> July 2015 </w:t>
      </w:r>
      <w:r w:rsidR="001143F2" w:rsidRPr="003D239A">
        <w:rPr>
          <w:color w:val="000000" w:themeColor="text1"/>
          <w:sz w:val="24"/>
          <w:szCs w:val="24"/>
        </w:rPr>
        <w:t xml:space="preserve">in the presence of the bidders or their representatives, if any, by the bids opening committee appointed the SSERC. </w:t>
      </w:r>
    </w:p>
    <w:p w:rsidR="00D571A1" w:rsidRPr="003D239A" w:rsidRDefault="00D571A1" w:rsidP="00EE5562">
      <w:pPr>
        <w:spacing w:line="240" w:lineRule="auto"/>
        <w:ind w:left="1418" w:hanging="425"/>
        <w:jc w:val="both"/>
        <w:rPr>
          <w:color w:val="000000" w:themeColor="text1"/>
          <w:sz w:val="24"/>
          <w:szCs w:val="24"/>
        </w:rPr>
      </w:pPr>
      <w:r w:rsidRPr="003D239A">
        <w:rPr>
          <w:color w:val="000000" w:themeColor="text1"/>
          <w:sz w:val="24"/>
          <w:szCs w:val="24"/>
        </w:rPr>
        <w:t>(m)</w:t>
      </w:r>
      <w:r w:rsidRPr="003D239A">
        <w:rPr>
          <w:color w:val="000000" w:themeColor="text1"/>
          <w:sz w:val="24"/>
          <w:szCs w:val="24"/>
        </w:rPr>
        <w:tab/>
        <w:t xml:space="preserve">The Bidder has the option of sending the Bid by registered post/courier or by submitting the Bid in person. Bids submitted by fax/telegram / telex letter </w:t>
      </w:r>
      <w:r>
        <w:rPr>
          <w:color w:val="000000" w:themeColor="text1"/>
          <w:sz w:val="24"/>
          <w:szCs w:val="24"/>
        </w:rPr>
        <w:t xml:space="preserve">/email </w:t>
      </w:r>
      <w:r w:rsidRPr="003D239A">
        <w:rPr>
          <w:color w:val="000000" w:themeColor="text1"/>
          <w:sz w:val="24"/>
          <w:szCs w:val="24"/>
        </w:rPr>
        <w:t>shall not be accepted. Bids submitted after the time and date fixed for the receipt of Bids shall be rejected and such Bids if so desired by the said Bidder may be permitted to be collected back by such Bidder provided such requests are received by SSERC within fifteen (15) days from the date of Bid opening.</w:t>
      </w:r>
    </w:p>
    <w:p w:rsidR="00D571A1" w:rsidRPr="003D239A" w:rsidRDefault="00D571A1" w:rsidP="00D571A1">
      <w:pPr>
        <w:spacing w:line="240" w:lineRule="auto"/>
        <w:ind w:left="1418" w:hanging="425"/>
        <w:jc w:val="both"/>
        <w:rPr>
          <w:color w:val="000000" w:themeColor="text1"/>
          <w:sz w:val="24"/>
          <w:szCs w:val="24"/>
        </w:rPr>
      </w:pPr>
      <w:r w:rsidRPr="003D239A">
        <w:rPr>
          <w:color w:val="000000" w:themeColor="text1"/>
          <w:sz w:val="24"/>
          <w:szCs w:val="24"/>
        </w:rPr>
        <w:t>(n)  SSERC may at its discretion, extend the dead line for submission of Bids by issuing an amendment, in which case all rights and obligations of SSERC and the Bidders previously subject to the original dead line shall thereafter be subject to the new deadline as extended.</w:t>
      </w:r>
    </w:p>
    <w:p w:rsidR="00D571A1" w:rsidRPr="003D239A" w:rsidRDefault="00D571A1" w:rsidP="00D571A1">
      <w:pPr>
        <w:spacing w:line="240" w:lineRule="auto"/>
        <w:ind w:left="1418" w:hanging="425"/>
        <w:jc w:val="both"/>
        <w:rPr>
          <w:color w:val="000000" w:themeColor="text1"/>
          <w:sz w:val="24"/>
          <w:szCs w:val="24"/>
        </w:rPr>
      </w:pPr>
      <w:r w:rsidRPr="003D239A">
        <w:rPr>
          <w:color w:val="000000" w:themeColor="text1"/>
          <w:sz w:val="24"/>
          <w:szCs w:val="24"/>
        </w:rPr>
        <w:t xml:space="preserve">(o)  SSERC reserves the right to accept or reject any or all the bids without assigning any reasons thereof. </w:t>
      </w:r>
    </w:p>
    <w:p w:rsidR="00D571A1" w:rsidRPr="00011303" w:rsidRDefault="00D571A1" w:rsidP="00D571A1">
      <w:pPr>
        <w:spacing w:line="240" w:lineRule="auto"/>
        <w:ind w:left="1418" w:hanging="425"/>
        <w:jc w:val="both"/>
        <w:rPr>
          <w:color w:val="000000" w:themeColor="text1"/>
          <w:sz w:val="24"/>
          <w:szCs w:val="24"/>
        </w:rPr>
      </w:pPr>
      <w:r w:rsidRPr="003D239A">
        <w:rPr>
          <w:color w:val="000000" w:themeColor="text1"/>
          <w:sz w:val="24"/>
          <w:szCs w:val="24"/>
        </w:rPr>
        <w:t>(P)</w:t>
      </w:r>
      <w:r w:rsidRPr="003D239A">
        <w:rPr>
          <w:color w:val="000000" w:themeColor="text1"/>
          <w:sz w:val="24"/>
          <w:szCs w:val="24"/>
        </w:rPr>
        <w:tab/>
        <w:t xml:space="preserve">The Notice Inviting Tenders can also be seen at                                                                    </w:t>
      </w:r>
      <w:r w:rsidRPr="00703CCD">
        <w:rPr>
          <w:b/>
          <w:color w:val="000000" w:themeColor="text1"/>
          <w:sz w:val="24"/>
          <w:szCs w:val="24"/>
        </w:rPr>
        <w:t>www. sserc.in</w:t>
      </w:r>
      <w:r w:rsidRPr="003D239A">
        <w:rPr>
          <w:color w:val="000000" w:themeColor="text1"/>
          <w:sz w:val="24"/>
          <w:szCs w:val="24"/>
        </w:rPr>
        <w:t>/Tenders/Advertisement.</w:t>
      </w:r>
      <w:r>
        <w:rPr>
          <w:b/>
          <w:color w:val="000000" w:themeColor="text1"/>
          <w:sz w:val="24"/>
          <w:szCs w:val="24"/>
        </w:rPr>
        <w:t xml:space="preserve">         </w:t>
      </w:r>
    </w:p>
    <w:p w:rsidR="00D571A1" w:rsidRDefault="00D571A1" w:rsidP="002C30B3">
      <w:pPr>
        <w:pStyle w:val="NoSpacing"/>
        <w:ind w:left="5487" w:firstLine="993"/>
        <w:rPr>
          <w:b/>
          <w:color w:val="000000" w:themeColor="text1"/>
          <w:sz w:val="24"/>
          <w:szCs w:val="24"/>
        </w:rPr>
      </w:pPr>
      <w:r>
        <w:rPr>
          <w:b/>
          <w:color w:val="000000" w:themeColor="text1"/>
          <w:sz w:val="24"/>
          <w:szCs w:val="24"/>
        </w:rPr>
        <w:t xml:space="preserve"> </w:t>
      </w:r>
    </w:p>
    <w:p w:rsidR="00D571A1" w:rsidRDefault="00D571A1" w:rsidP="00D571A1">
      <w:pPr>
        <w:pStyle w:val="NoSpacing"/>
        <w:ind w:left="5487" w:firstLine="993"/>
        <w:rPr>
          <w:b/>
          <w:color w:val="000000" w:themeColor="text1"/>
          <w:sz w:val="24"/>
          <w:szCs w:val="24"/>
        </w:rPr>
      </w:pPr>
      <w:r>
        <w:rPr>
          <w:b/>
          <w:color w:val="000000" w:themeColor="text1"/>
          <w:sz w:val="24"/>
          <w:szCs w:val="24"/>
        </w:rPr>
        <w:t xml:space="preserve">      Sd/-</w:t>
      </w:r>
    </w:p>
    <w:p w:rsidR="00D571A1" w:rsidRDefault="00D571A1" w:rsidP="00D571A1">
      <w:pPr>
        <w:pStyle w:val="NoSpacing"/>
        <w:ind w:left="5487" w:firstLine="993"/>
        <w:rPr>
          <w:b/>
          <w:color w:val="000000" w:themeColor="text1"/>
          <w:sz w:val="24"/>
          <w:szCs w:val="24"/>
        </w:rPr>
      </w:pPr>
      <w:r>
        <w:rPr>
          <w:b/>
          <w:color w:val="000000" w:themeColor="text1"/>
          <w:sz w:val="24"/>
          <w:szCs w:val="24"/>
        </w:rPr>
        <w:t xml:space="preserve">  Secretary,</w:t>
      </w:r>
    </w:p>
    <w:p w:rsidR="003402EA" w:rsidRPr="0017069C" w:rsidRDefault="00D571A1" w:rsidP="0017069C">
      <w:pPr>
        <w:pStyle w:val="NoSpacing"/>
        <w:ind w:left="3600" w:firstLine="720"/>
        <w:rPr>
          <w:b/>
          <w:color w:val="000000" w:themeColor="text1"/>
          <w:sz w:val="24"/>
          <w:szCs w:val="24"/>
        </w:rPr>
      </w:pPr>
      <w:r>
        <w:rPr>
          <w:b/>
          <w:color w:val="000000" w:themeColor="text1"/>
          <w:sz w:val="24"/>
          <w:szCs w:val="24"/>
        </w:rPr>
        <w:t xml:space="preserve">      Sikkim State Electricity Regulatory Commission.</w:t>
      </w:r>
    </w:p>
    <w:sectPr w:rsidR="003402EA" w:rsidRPr="0017069C" w:rsidSect="00D571A1">
      <w:footerReference w:type="default" r:id="rId10"/>
      <w:pgSz w:w="11906" w:h="16838"/>
      <w:pgMar w:top="709" w:right="849"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C21" w:rsidRDefault="00336C21" w:rsidP="00D571A1">
      <w:pPr>
        <w:spacing w:after="0" w:line="240" w:lineRule="auto"/>
      </w:pPr>
      <w:r>
        <w:separator/>
      </w:r>
    </w:p>
  </w:endnote>
  <w:endnote w:type="continuationSeparator" w:id="1">
    <w:p w:rsidR="00336C21" w:rsidRDefault="00336C21" w:rsidP="00D57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3591"/>
      <w:docPartObj>
        <w:docPartGallery w:val="Page Numbers (Bottom of Page)"/>
        <w:docPartUnique/>
      </w:docPartObj>
    </w:sdtPr>
    <w:sdtContent>
      <w:p w:rsidR="00D571A1" w:rsidRDefault="000602E5">
        <w:pPr>
          <w:pStyle w:val="Footer"/>
          <w:jc w:val="center"/>
        </w:pPr>
        <w:fldSimple w:instr=" PAGE   \* MERGEFORMAT ">
          <w:r w:rsidR="004A2D7D">
            <w:rPr>
              <w:noProof/>
            </w:rPr>
            <w:t>1</w:t>
          </w:r>
        </w:fldSimple>
      </w:p>
    </w:sdtContent>
  </w:sdt>
  <w:p w:rsidR="00D571A1" w:rsidRDefault="00D57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C21" w:rsidRDefault="00336C21" w:rsidP="00D571A1">
      <w:pPr>
        <w:spacing w:after="0" w:line="240" w:lineRule="auto"/>
      </w:pPr>
      <w:r>
        <w:separator/>
      </w:r>
    </w:p>
  </w:footnote>
  <w:footnote w:type="continuationSeparator" w:id="1">
    <w:p w:rsidR="00336C21" w:rsidRDefault="00336C21" w:rsidP="00D57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E3912"/>
    <w:multiLevelType w:val="hybridMultilevel"/>
    <w:tmpl w:val="3C5A9FA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27F47470"/>
    <w:multiLevelType w:val="hybridMultilevel"/>
    <w:tmpl w:val="1C5405E4"/>
    <w:lvl w:ilvl="0" w:tplc="70DE7BCE">
      <w:start w:val="1"/>
      <w:numFmt w:val="decimal"/>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29694B54"/>
    <w:multiLevelType w:val="hybridMultilevel"/>
    <w:tmpl w:val="DE4222F0"/>
    <w:lvl w:ilvl="0" w:tplc="9A18F56C">
      <w:start w:val="1"/>
      <w:numFmt w:val="lowerRoman"/>
      <w:lvlText w:val="%1)"/>
      <w:lvlJc w:val="left"/>
      <w:pPr>
        <w:ind w:left="2198" w:hanging="720"/>
      </w:pPr>
      <w:rPr>
        <w:rFonts w:hint="default"/>
      </w:rPr>
    </w:lvl>
    <w:lvl w:ilvl="1" w:tplc="40090019" w:tentative="1">
      <w:start w:val="1"/>
      <w:numFmt w:val="lowerLetter"/>
      <w:lvlText w:val="%2."/>
      <w:lvlJc w:val="left"/>
      <w:pPr>
        <w:ind w:left="2558" w:hanging="360"/>
      </w:pPr>
    </w:lvl>
    <w:lvl w:ilvl="2" w:tplc="4009001B" w:tentative="1">
      <w:start w:val="1"/>
      <w:numFmt w:val="lowerRoman"/>
      <w:lvlText w:val="%3."/>
      <w:lvlJc w:val="right"/>
      <w:pPr>
        <w:ind w:left="3278" w:hanging="180"/>
      </w:pPr>
    </w:lvl>
    <w:lvl w:ilvl="3" w:tplc="4009000F" w:tentative="1">
      <w:start w:val="1"/>
      <w:numFmt w:val="decimal"/>
      <w:lvlText w:val="%4."/>
      <w:lvlJc w:val="left"/>
      <w:pPr>
        <w:ind w:left="3998" w:hanging="360"/>
      </w:pPr>
    </w:lvl>
    <w:lvl w:ilvl="4" w:tplc="40090019" w:tentative="1">
      <w:start w:val="1"/>
      <w:numFmt w:val="lowerLetter"/>
      <w:lvlText w:val="%5."/>
      <w:lvlJc w:val="left"/>
      <w:pPr>
        <w:ind w:left="4718" w:hanging="360"/>
      </w:pPr>
    </w:lvl>
    <w:lvl w:ilvl="5" w:tplc="4009001B" w:tentative="1">
      <w:start w:val="1"/>
      <w:numFmt w:val="lowerRoman"/>
      <w:lvlText w:val="%6."/>
      <w:lvlJc w:val="right"/>
      <w:pPr>
        <w:ind w:left="5438" w:hanging="180"/>
      </w:pPr>
    </w:lvl>
    <w:lvl w:ilvl="6" w:tplc="4009000F" w:tentative="1">
      <w:start w:val="1"/>
      <w:numFmt w:val="decimal"/>
      <w:lvlText w:val="%7."/>
      <w:lvlJc w:val="left"/>
      <w:pPr>
        <w:ind w:left="6158" w:hanging="360"/>
      </w:pPr>
    </w:lvl>
    <w:lvl w:ilvl="7" w:tplc="40090019" w:tentative="1">
      <w:start w:val="1"/>
      <w:numFmt w:val="lowerLetter"/>
      <w:lvlText w:val="%8."/>
      <w:lvlJc w:val="left"/>
      <w:pPr>
        <w:ind w:left="6878" w:hanging="360"/>
      </w:pPr>
    </w:lvl>
    <w:lvl w:ilvl="8" w:tplc="4009001B" w:tentative="1">
      <w:start w:val="1"/>
      <w:numFmt w:val="lowerRoman"/>
      <w:lvlText w:val="%9."/>
      <w:lvlJc w:val="right"/>
      <w:pPr>
        <w:ind w:left="7598" w:hanging="180"/>
      </w:pPr>
    </w:lvl>
  </w:abstractNum>
  <w:abstractNum w:abstractNumId="3">
    <w:nsid w:val="44B05654"/>
    <w:multiLevelType w:val="hybridMultilevel"/>
    <w:tmpl w:val="A17EFB92"/>
    <w:lvl w:ilvl="0" w:tplc="F3780BBC">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5AFD5F45"/>
    <w:multiLevelType w:val="hybridMultilevel"/>
    <w:tmpl w:val="2500DC4E"/>
    <w:lvl w:ilvl="0" w:tplc="1ED4361C">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5">
    <w:nsid w:val="5B464ADE"/>
    <w:multiLevelType w:val="hybridMultilevel"/>
    <w:tmpl w:val="74CC5210"/>
    <w:lvl w:ilvl="0" w:tplc="862CCD3E">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5"/>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5A55"/>
    <w:rsid w:val="000602E5"/>
    <w:rsid w:val="000F1AA7"/>
    <w:rsid w:val="00102321"/>
    <w:rsid w:val="001143F2"/>
    <w:rsid w:val="0017069C"/>
    <w:rsid w:val="001F1FED"/>
    <w:rsid w:val="00277AB6"/>
    <w:rsid w:val="002C30B3"/>
    <w:rsid w:val="002C5AC6"/>
    <w:rsid w:val="00336C21"/>
    <w:rsid w:val="003402EA"/>
    <w:rsid w:val="00395A55"/>
    <w:rsid w:val="00485112"/>
    <w:rsid w:val="004A2D7D"/>
    <w:rsid w:val="004E2493"/>
    <w:rsid w:val="006F1175"/>
    <w:rsid w:val="00703CCD"/>
    <w:rsid w:val="00711377"/>
    <w:rsid w:val="007660E1"/>
    <w:rsid w:val="008B0AC6"/>
    <w:rsid w:val="00C57008"/>
    <w:rsid w:val="00D571A1"/>
    <w:rsid w:val="00E1784C"/>
    <w:rsid w:val="00E86B76"/>
    <w:rsid w:val="00EE5562"/>
    <w:rsid w:val="00F779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EA"/>
    <w:rPr>
      <w:rFonts w:ascii="Tahoma" w:hAnsi="Tahoma" w:cs="Tahoma"/>
      <w:sz w:val="16"/>
      <w:szCs w:val="16"/>
    </w:rPr>
  </w:style>
  <w:style w:type="paragraph" w:styleId="ListParagraph">
    <w:name w:val="List Paragraph"/>
    <w:basedOn w:val="Normal"/>
    <w:uiPriority w:val="34"/>
    <w:qFormat/>
    <w:rsid w:val="001F1FED"/>
    <w:pPr>
      <w:ind w:left="720"/>
      <w:contextualSpacing/>
    </w:pPr>
  </w:style>
  <w:style w:type="paragraph" w:styleId="NoSpacing">
    <w:name w:val="No Spacing"/>
    <w:uiPriority w:val="1"/>
    <w:qFormat/>
    <w:rsid w:val="001F1FED"/>
    <w:pPr>
      <w:spacing w:after="0" w:line="240" w:lineRule="auto"/>
    </w:pPr>
  </w:style>
  <w:style w:type="paragraph" w:styleId="Header">
    <w:name w:val="header"/>
    <w:basedOn w:val="Normal"/>
    <w:link w:val="HeaderChar"/>
    <w:uiPriority w:val="99"/>
    <w:semiHidden/>
    <w:unhideWhenUsed/>
    <w:rsid w:val="00D571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71A1"/>
  </w:style>
  <w:style w:type="paragraph" w:styleId="Footer">
    <w:name w:val="footer"/>
    <w:basedOn w:val="Normal"/>
    <w:link w:val="FooterChar"/>
    <w:uiPriority w:val="99"/>
    <w:unhideWhenUsed/>
    <w:rsid w:val="00D57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4F76-03BD-4826-B78F-7D14464A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2015-06-24T07:28:00Z</dcterms:created>
  <dcterms:modified xsi:type="dcterms:W3CDTF">2015-06-26T05:36:00Z</dcterms:modified>
</cp:coreProperties>
</file>