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3E" w:rsidRDefault="0092473E" w:rsidP="003473C8">
      <w:pPr>
        <w:jc w:val="center"/>
        <w:rPr>
          <w:b/>
          <w:sz w:val="32"/>
          <w:szCs w:val="32"/>
          <w:u w:val="single"/>
        </w:rPr>
      </w:pPr>
    </w:p>
    <w:p w:rsidR="003473C8" w:rsidRDefault="006F653C" w:rsidP="003473C8">
      <w:pPr>
        <w:jc w:val="center"/>
        <w:rPr>
          <w:b/>
          <w:sz w:val="32"/>
          <w:szCs w:val="32"/>
          <w:u w:val="single"/>
        </w:rPr>
      </w:pPr>
      <w:r w:rsidRPr="00754FBE">
        <w:rPr>
          <w:b/>
          <w:sz w:val="32"/>
          <w:szCs w:val="32"/>
          <w:u w:val="single"/>
        </w:rPr>
        <w:t>CATEGORIES OF DOCUMENTS</w:t>
      </w:r>
    </w:p>
    <w:p w:rsidR="00C90E02" w:rsidRPr="003F2F6C" w:rsidRDefault="0092473E" w:rsidP="00C90E02">
      <w:pPr>
        <w:ind w:left="3600" w:firstLine="720"/>
        <w:rPr>
          <w:b/>
          <w:sz w:val="24"/>
          <w:szCs w:val="24"/>
        </w:rPr>
      </w:pPr>
      <w:r>
        <w:rPr>
          <w:b/>
          <w:sz w:val="24"/>
          <w:szCs w:val="24"/>
        </w:rPr>
        <w:t>Section 4(1</w:t>
      </w:r>
      <w:proofErr w:type="gramStart"/>
      <w:r>
        <w:rPr>
          <w:b/>
          <w:sz w:val="24"/>
          <w:szCs w:val="24"/>
        </w:rPr>
        <w:t>)(</w:t>
      </w:r>
      <w:proofErr w:type="gramEnd"/>
      <w:r>
        <w:rPr>
          <w:b/>
          <w:sz w:val="24"/>
          <w:szCs w:val="24"/>
        </w:rPr>
        <w:t>a</w:t>
      </w:r>
      <w:r w:rsidRPr="0092473E">
        <w:rPr>
          <w:b/>
          <w:sz w:val="24"/>
          <w:szCs w:val="24"/>
        </w:rPr>
        <w:t>)(</w:t>
      </w:r>
      <w:r>
        <w:rPr>
          <w:b/>
          <w:sz w:val="24"/>
          <w:szCs w:val="24"/>
        </w:rPr>
        <w:t>vi</w:t>
      </w:r>
      <w:r w:rsidRPr="0092473E">
        <w:rPr>
          <w:b/>
          <w:sz w:val="24"/>
          <w:szCs w:val="24"/>
        </w:rPr>
        <w:t>)</w:t>
      </w:r>
    </w:p>
    <w:p w:rsidR="006C083F" w:rsidRPr="00E311CD" w:rsidRDefault="0096170D" w:rsidP="00E311CD">
      <w:pPr>
        <w:pStyle w:val="ListParagraph"/>
        <w:numPr>
          <w:ilvl w:val="0"/>
          <w:numId w:val="16"/>
        </w:numPr>
        <w:rPr>
          <w:b/>
          <w:sz w:val="28"/>
          <w:szCs w:val="28"/>
        </w:rPr>
      </w:pPr>
      <w:r w:rsidRPr="00E311CD">
        <w:rPr>
          <w:b/>
          <w:sz w:val="28"/>
          <w:szCs w:val="28"/>
        </w:rPr>
        <w:t>Regulations.</w:t>
      </w:r>
    </w:p>
    <w:p w:rsidR="006F653C" w:rsidRPr="0057022B" w:rsidRDefault="006F653C" w:rsidP="0057022B">
      <w:pPr>
        <w:jc w:val="both"/>
        <w:rPr>
          <w:sz w:val="28"/>
          <w:szCs w:val="28"/>
        </w:rPr>
      </w:pPr>
      <w:r w:rsidRPr="0057022B">
        <w:rPr>
          <w:sz w:val="28"/>
          <w:szCs w:val="28"/>
        </w:rPr>
        <w:t xml:space="preserve">As empowered by the provisions of the Electricity Act, 2003, the Commission is mandated to regulate the activities of the licensees engaged in the generation, distribution and transmission of power in the State. As a statutory body, the Commission functions under the provisions of the Electricity Act, </w:t>
      </w:r>
      <w:proofErr w:type="gramStart"/>
      <w:r w:rsidRPr="0057022B">
        <w:rPr>
          <w:sz w:val="28"/>
          <w:szCs w:val="28"/>
        </w:rPr>
        <w:t>2003 ,</w:t>
      </w:r>
      <w:proofErr w:type="gramEnd"/>
      <w:r w:rsidRPr="0057022B">
        <w:rPr>
          <w:sz w:val="28"/>
          <w:szCs w:val="28"/>
        </w:rPr>
        <w:t xml:space="preserve"> and has framed several Regulations. The list of Regulations so far framed and notified by the Commission is as follows:</w:t>
      </w:r>
    </w:p>
    <w:tbl>
      <w:tblPr>
        <w:tblStyle w:val="TableGrid"/>
        <w:tblW w:w="9781" w:type="dxa"/>
        <w:tblInd w:w="250" w:type="dxa"/>
        <w:tblLook w:val="04A0"/>
      </w:tblPr>
      <w:tblGrid>
        <w:gridCol w:w="851"/>
        <w:gridCol w:w="5670"/>
        <w:gridCol w:w="1559"/>
        <w:gridCol w:w="1701"/>
      </w:tblGrid>
      <w:tr w:rsidR="006E7FB3" w:rsidRPr="0057022B" w:rsidTr="0057022B">
        <w:tc>
          <w:tcPr>
            <w:tcW w:w="851" w:type="dxa"/>
          </w:tcPr>
          <w:p w:rsidR="006E7FB3" w:rsidRPr="0057022B" w:rsidRDefault="006E7FB3" w:rsidP="006F653C">
            <w:pPr>
              <w:pStyle w:val="ListParagraph"/>
              <w:ind w:left="0"/>
              <w:jc w:val="both"/>
              <w:rPr>
                <w:sz w:val="24"/>
                <w:szCs w:val="24"/>
              </w:rPr>
            </w:pPr>
            <w:proofErr w:type="spellStart"/>
            <w:r w:rsidRPr="0057022B">
              <w:rPr>
                <w:sz w:val="24"/>
                <w:szCs w:val="24"/>
              </w:rPr>
              <w:t>Sl.No</w:t>
            </w:r>
            <w:proofErr w:type="spellEnd"/>
          </w:p>
        </w:tc>
        <w:tc>
          <w:tcPr>
            <w:tcW w:w="5670" w:type="dxa"/>
            <w:tcBorders>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Name of the Regulation.</w:t>
            </w:r>
          </w:p>
        </w:tc>
        <w:tc>
          <w:tcPr>
            <w:tcW w:w="1559" w:type="dxa"/>
            <w:tcBorders>
              <w:left w:val="single" w:sz="4" w:space="0" w:color="auto"/>
              <w:right w:val="single" w:sz="4" w:space="0" w:color="auto"/>
            </w:tcBorders>
          </w:tcPr>
          <w:p w:rsidR="006E7FB3" w:rsidRPr="0057022B" w:rsidRDefault="00965E5E" w:rsidP="006E7FB3">
            <w:pPr>
              <w:pStyle w:val="ListParagraph"/>
              <w:ind w:left="0"/>
              <w:jc w:val="both"/>
              <w:rPr>
                <w:sz w:val="24"/>
                <w:szCs w:val="24"/>
              </w:rPr>
            </w:pPr>
            <w:r>
              <w:rPr>
                <w:sz w:val="24"/>
                <w:szCs w:val="24"/>
              </w:rPr>
              <w:t xml:space="preserve">Gazette </w:t>
            </w:r>
            <w:r w:rsidR="006E7FB3" w:rsidRPr="0057022B">
              <w:rPr>
                <w:sz w:val="24"/>
                <w:szCs w:val="24"/>
              </w:rPr>
              <w:t>Notification No</w:t>
            </w:r>
          </w:p>
        </w:tc>
        <w:tc>
          <w:tcPr>
            <w:tcW w:w="1701" w:type="dxa"/>
            <w:tcBorders>
              <w:left w:val="single" w:sz="4" w:space="0" w:color="auto"/>
            </w:tcBorders>
          </w:tcPr>
          <w:p w:rsidR="006E7FB3" w:rsidRPr="0057022B" w:rsidRDefault="006E7FB3" w:rsidP="004D094B">
            <w:pPr>
              <w:pStyle w:val="ListParagraph"/>
              <w:ind w:left="0"/>
              <w:jc w:val="both"/>
              <w:rPr>
                <w:sz w:val="24"/>
                <w:szCs w:val="24"/>
              </w:rPr>
            </w:pPr>
            <w:r w:rsidRPr="0057022B">
              <w:rPr>
                <w:sz w:val="24"/>
                <w:szCs w:val="24"/>
              </w:rPr>
              <w:t>Date</w:t>
            </w:r>
          </w:p>
        </w:tc>
      </w:tr>
      <w:tr w:rsidR="006E7FB3" w:rsidRPr="0057022B" w:rsidTr="0057022B">
        <w:tc>
          <w:tcPr>
            <w:tcW w:w="851" w:type="dxa"/>
          </w:tcPr>
          <w:p w:rsidR="006E7FB3" w:rsidRPr="0057022B" w:rsidRDefault="006C083F" w:rsidP="006F653C">
            <w:pPr>
              <w:pStyle w:val="ListParagraph"/>
              <w:ind w:left="0"/>
              <w:jc w:val="both"/>
              <w:rPr>
                <w:sz w:val="24"/>
                <w:szCs w:val="24"/>
              </w:rPr>
            </w:pPr>
            <w:r w:rsidRPr="0057022B">
              <w:rPr>
                <w:sz w:val="24"/>
                <w:szCs w:val="24"/>
              </w:rPr>
              <w:t>1</w:t>
            </w:r>
          </w:p>
        </w:tc>
        <w:tc>
          <w:tcPr>
            <w:tcW w:w="5670" w:type="dxa"/>
            <w:tcBorders>
              <w:right w:val="single" w:sz="4" w:space="0" w:color="auto"/>
            </w:tcBorders>
          </w:tcPr>
          <w:p w:rsidR="006E7FB3" w:rsidRPr="0057022B" w:rsidRDefault="006E7FB3" w:rsidP="006F653C">
            <w:pPr>
              <w:jc w:val="both"/>
              <w:rPr>
                <w:sz w:val="24"/>
                <w:szCs w:val="24"/>
              </w:rPr>
            </w:pPr>
            <w:r w:rsidRPr="0057022B">
              <w:rPr>
                <w:rFonts w:cs="Times New Roman"/>
                <w:sz w:val="24"/>
                <w:szCs w:val="24"/>
              </w:rPr>
              <w:t>Sikkim State Electricity Regulatory Commission (Conduct of Business) Regulations, 2012</w:t>
            </w:r>
          </w:p>
        </w:tc>
        <w:tc>
          <w:tcPr>
            <w:tcW w:w="1559" w:type="dxa"/>
            <w:tcBorders>
              <w:left w:val="single" w:sz="4" w:space="0" w:color="auto"/>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111</w:t>
            </w:r>
          </w:p>
          <w:p w:rsidR="006E7FB3" w:rsidRPr="0057022B" w:rsidRDefault="006E7FB3" w:rsidP="006F653C">
            <w:pPr>
              <w:pStyle w:val="ListParagraph"/>
              <w:ind w:left="0"/>
              <w:jc w:val="both"/>
              <w:rPr>
                <w:sz w:val="24"/>
                <w:szCs w:val="24"/>
              </w:rPr>
            </w:pPr>
          </w:p>
        </w:tc>
        <w:tc>
          <w:tcPr>
            <w:tcW w:w="1701" w:type="dxa"/>
            <w:tcBorders>
              <w:left w:val="single" w:sz="4" w:space="0" w:color="auto"/>
            </w:tcBorders>
          </w:tcPr>
          <w:p w:rsidR="006E7FB3" w:rsidRPr="0057022B" w:rsidRDefault="006E7FB3" w:rsidP="006F653C">
            <w:pPr>
              <w:pStyle w:val="ListParagraph"/>
              <w:ind w:left="0"/>
              <w:jc w:val="both"/>
              <w:rPr>
                <w:sz w:val="24"/>
                <w:szCs w:val="24"/>
              </w:rPr>
            </w:pPr>
            <w:r w:rsidRPr="0057022B">
              <w:rPr>
                <w:sz w:val="24"/>
                <w:szCs w:val="24"/>
              </w:rPr>
              <w:t>15</w:t>
            </w:r>
            <w:r w:rsidRPr="0057022B">
              <w:rPr>
                <w:sz w:val="24"/>
                <w:szCs w:val="24"/>
                <w:vertAlign w:val="superscript"/>
              </w:rPr>
              <w:t>th</w:t>
            </w:r>
            <w:r w:rsidRPr="0057022B">
              <w:rPr>
                <w:sz w:val="24"/>
                <w:szCs w:val="24"/>
              </w:rPr>
              <w:t xml:space="preserve"> March 2012</w:t>
            </w:r>
          </w:p>
        </w:tc>
      </w:tr>
      <w:tr w:rsidR="00DA42E6" w:rsidRPr="0057022B" w:rsidTr="0057022B">
        <w:tc>
          <w:tcPr>
            <w:tcW w:w="851" w:type="dxa"/>
          </w:tcPr>
          <w:p w:rsidR="00DA42E6" w:rsidRPr="0057022B" w:rsidRDefault="006C083F" w:rsidP="006F653C">
            <w:pPr>
              <w:pStyle w:val="ListParagraph"/>
              <w:ind w:left="0"/>
              <w:jc w:val="both"/>
              <w:rPr>
                <w:sz w:val="24"/>
                <w:szCs w:val="24"/>
              </w:rPr>
            </w:pPr>
            <w:r w:rsidRPr="0057022B">
              <w:rPr>
                <w:sz w:val="24"/>
                <w:szCs w:val="24"/>
              </w:rPr>
              <w:t>2</w:t>
            </w:r>
          </w:p>
        </w:tc>
        <w:tc>
          <w:tcPr>
            <w:tcW w:w="5670" w:type="dxa"/>
            <w:tcBorders>
              <w:right w:val="single" w:sz="4" w:space="0" w:color="auto"/>
            </w:tcBorders>
          </w:tcPr>
          <w:p w:rsidR="00DA42E6" w:rsidRPr="0057022B" w:rsidRDefault="00DA42E6" w:rsidP="00DA42E6">
            <w:pPr>
              <w:jc w:val="both"/>
              <w:rPr>
                <w:rFonts w:cs="Times New Roman"/>
                <w:sz w:val="24"/>
                <w:szCs w:val="24"/>
              </w:rPr>
            </w:pPr>
            <w:r w:rsidRPr="0057022B">
              <w:rPr>
                <w:rFonts w:cs="Times New Roman"/>
                <w:sz w:val="24"/>
                <w:szCs w:val="24"/>
              </w:rPr>
              <w:t>Sikkim State Electricity Regulatory Commission (Standards of Performance for Distribution and Transmission Licensee) Regulations, 2012</w:t>
            </w:r>
          </w:p>
        </w:tc>
        <w:tc>
          <w:tcPr>
            <w:tcW w:w="1559" w:type="dxa"/>
            <w:tcBorders>
              <w:left w:val="single" w:sz="4" w:space="0" w:color="auto"/>
              <w:right w:val="single" w:sz="4" w:space="0" w:color="auto"/>
            </w:tcBorders>
          </w:tcPr>
          <w:p w:rsidR="00DA42E6" w:rsidRPr="0057022B" w:rsidRDefault="00DA42E6" w:rsidP="006F653C">
            <w:pPr>
              <w:pStyle w:val="ListParagraph"/>
              <w:ind w:left="0"/>
              <w:jc w:val="both"/>
              <w:rPr>
                <w:sz w:val="24"/>
                <w:szCs w:val="24"/>
              </w:rPr>
            </w:pPr>
            <w:r w:rsidRPr="0057022B">
              <w:rPr>
                <w:sz w:val="24"/>
                <w:szCs w:val="24"/>
              </w:rPr>
              <w:t>132</w:t>
            </w:r>
          </w:p>
        </w:tc>
        <w:tc>
          <w:tcPr>
            <w:tcW w:w="1701" w:type="dxa"/>
            <w:tcBorders>
              <w:left w:val="single" w:sz="4" w:space="0" w:color="auto"/>
            </w:tcBorders>
          </w:tcPr>
          <w:p w:rsidR="00DA42E6" w:rsidRPr="0057022B" w:rsidRDefault="00DA42E6" w:rsidP="006F653C">
            <w:pPr>
              <w:pStyle w:val="ListParagraph"/>
              <w:ind w:left="0"/>
              <w:jc w:val="both"/>
              <w:rPr>
                <w:sz w:val="24"/>
                <w:szCs w:val="24"/>
              </w:rPr>
            </w:pPr>
            <w:r w:rsidRPr="0057022B">
              <w:rPr>
                <w:sz w:val="24"/>
                <w:szCs w:val="24"/>
              </w:rPr>
              <w:t>23</w:t>
            </w:r>
            <w:r w:rsidRPr="0057022B">
              <w:rPr>
                <w:sz w:val="24"/>
                <w:szCs w:val="24"/>
                <w:vertAlign w:val="superscript"/>
              </w:rPr>
              <w:t>rd</w:t>
            </w:r>
            <w:r w:rsidRPr="0057022B">
              <w:rPr>
                <w:sz w:val="24"/>
                <w:szCs w:val="24"/>
              </w:rPr>
              <w:t xml:space="preserve"> March 2012</w:t>
            </w:r>
          </w:p>
        </w:tc>
      </w:tr>
      <w:tr w:rsidR="00023992" w:rsidRPr="0057022B" w:rsidTr="0057022B">
        <w:tc>
          <w:tcPr>
            <w:tcW w:w="851" w:type="dxa"/>
          </w:tcPr>
          <w:p w:rsidR="00023992" w:rsidRPr="0057022B" w:rsidRDefault="006C083F" w:rsidP="006F653C">
            <w:pPr>
              <w:pStyle w:val="ListParagraph"/>
              <w:ind w:left="0"/>
              <w:jc w:val="both"/>
              <w:rPr>
                <w:sz w:val="24"/>
                <w:szCs w:val="24"/>
              </w:rPr>
            </w:pPr>
            <w:r w:rsidRPr="0057022B">
              <w:rPr>
                <w:sz w:val="24"/>
                <w:szCs w:val="24"/>
              </w:rPr>
              <w:t>3</w:t>
            </w:r>
          </w:p>
        </w:tc>
        <w:tc>
          <w:tcPr>
            <w:tcW w:w="5670" w:type="dxa"/>
            <w:tcBorders>
              <w:right w:val="single" w:sz="4" w:space="0" w:color="auto"/>
            </w:tcBorders>
          </w:tcPr>
          <w:p w:rsidR="00023992" w:rsidRPr="0057022B" w:rsidRDefault="00023992" w:rsidP="00023992">
            <w:pPr>
              <w:jc w:val="both"/>
              <w:rPr>
                <w:rFonts w:cs="Times New Roman"/>
                <w:sz w:val="24"/>
                <w:szCs w:val="24"/>
              </w:rPr>
            </w:pPr>
            <w:r w:rsidRPr="0057022B">
              <w:rPr>
                <w:rFonts w:cs="Times New Roman"/>
                <w:sz w:val="24"/>
                <w:szCs w:val="24"/>
              </w:rPr>
              <w:t>Sikkim State Electricity Regulatory Commission (Terms and Conditions for determination of Tariff) Regulations, 2012</w:t>
            </w:r>
          </w:p>
        </w:tc>
        <w:tc>
          <w:tcPr>
            <w:tcW w:w="1559" w:type="dxa"/>
            <w:tcBorders>
              <w:left w:val="single" w:sz="4" w:space="0" w:color="auto"/>
              <w:right w:val="single" w:sz="4" w:space="0" w:color="auto"/>
            </w:tcBorders>
          </w:tcPr>
          <w:p w:rsidR="00023992" w:rsidRPr="0057022B" w:rsidRDefault="00023992" w:rsidP="006F653C">
            <w:pPr>
              <w:pStyle w:val="ListParagraph"/>
              <w:ind w:left="0"/>
              <w:jc w:val="both"/>
              <w:rPr>
                <w:sz w:val="24"/>
                <w:szCs w:val="24"/>
              </w:rPr>
            </w:pPr>
            <w:r w:rsidRPr="0057022B">
              <w:rPr>
                <w:sz w:val="24"/>
                <w:szCs w:val="24"/>
              </w:rPr>
              <w:t>133</w:t>
            </w:r>
          </w:p>
        </w:tc>
        <w:tc>
          <w:tcPr>
            <w:tcW w:w="1701" w:type="dxa"/>
            <w:tcBorders>
              <w:left w:val="single" w:sz="4" w:space="0" w:color="auto"/>
            </w:tcBorders>
          </w:tcPr>
          <w:p w:rsidR="00023992" w:rsidRPr="0057022B" w:rsidRDefault="00023992" w:rsidP="00F83B24">
            <w:pPr>
              <w:pStyle w:val="ListParagraph"/>
              <w:ind w:left="0"/>
              <w:jc w:val="both"/>
              <w:rPr>
                <w:sz w:val="24"/>
                <w:szCs w:val="24"/>
              </w:rPr>
            </w:pPr>
            <w:r w:rsidRPr="0057022B">
              <w:rPr>
                <w:sz w:val="24"/>
                <w:szCs w:val="24"/>
              </w:rPr>
              <w:t>23</w:t>
            </w:r>
            <w:r w:rsidRPr="0057022B">
              <w:rPr>
                <w:sz w:val="24"/>
                <w:szCs w:val="24"/>
                <w:vertAlign w:val="superscript"/>
              </w:rPr>
              <w:t>rd</w:t>
            </w:r>
            <w:r w:rsidRPr="0057022B">
              <w:rPr>
                <w:sz w:val="24"/>
                <w:szCs w:val="24"/>
              </w:rPr>
              <w:t xml:space="preserve"> March 2012</w:t>
            </w:r>
          </w:p>
        </w:tc>
      </w:tr>
      <w:tr w:rsidR="00F83B24" w:rsidRPr="0057022B" w:rsidTr="0057022B">
        <w:tc>
          <w:tcPr>
            <w:tcW w:w="851" w:type="dxa"/>
          </w:tcPr>
          <w:p w:rsidR="00F83B24" w:rsidRPr="0057022B" w:rsidRDefault="006C083F" w:rsidP="006F653C">
            <w:pPr>
              <w:pStyle w:val="ListParagraph"/>
              <w:ind w:left="0"/>
              <w:jc w:val="both"/>
              <w:rPr>
                <w:sz w:val="24"/>
                <w:szCs w:val="24"/>
              </w:rPr>
            </w:pPr>
            <w:r w:rsidRPr="0057022B">
              <w:rPr>
                <w:sz w:val="24"/>
                <w:szCs w:val="24"/>
              </w:rPr>
              <w:t>4</w:t>
            </w:r>
          </w:p>
        </w:tc>
        <w:tc>
          <w:tcPr>
            <w:tcW w:w="5670" w:type="dxa"/>
            <w:tcBorders>
              <w:right w:val="single" w:sz="4" w:space="0" w:color="auto"/>
            </w:tcBorders>
          </w:tcPr>
          <w:p w:rsidR="00F83B24" w:rsidRPr="0057022B" w:rsidRDefault="00F83B24" w:rsidP="00F83B24">
            <w:pPr>
              <w:jc w:val="both"/>
              <w:rPr>
                <w:rFonts w:cs="Times New Roman"/>
                <w:sz w:val="24"/>
                <w:szCs w:val="24"/>
              </w:rPr>
            </w:pPr>
            <w:r w:rsidRPr="0057022B">
              <w:rPr>
                <w:rFonts w:cs="Times New Roman"/>
                <w:sz w:val="24"/>
                <w:szCs w:val="24"/>
              </w:rPr>
              <w:t>Sikkim State Electricity Regulatory Commission (Electricity Supply Code) Regulations, 2012</w:t>
            </w:r>
          </w:p>
        </w:tc>
        <w:tc>
          <w:tcPr>
            <w:tcW w:w="1559" w:type="dxa"/>
            <w:tcBorders>
              <w:left w:val="single" w:sz="4" w:space="0" w:color="auto"/>
              <w:right w:val="single" w:sz="4" w:space="0" w:color="auto"/>
            </w:tcBorders>
          </w:tcPr>
          <w:p w:rsidR="00F83B24" w:rsidRPr="0057022B" w:rsidRDefault="00F83B24" w:rsidP="006F653C">
            <w:pPr>
              <w:pStyle w:val="ListParagraph"/>
              <w:ind w:left="0"/>
              <w:jc w:val="both"/>
              <w:rPr>
                <w:sz w:val="24"/>
                <w:szCs w:val="24"/>
              </w:rPr>
            </w:pPr>
            <w:r w:rsidRPr="0057022B">
              <w:rPr>
                <w:sz w:val="24"/>
                <w:szCs w:val="24"/>
              </w:rPr>
              <w:t>172</w:t>
            </w:r>
          </w:p>
        </w:tc>
        <w:tc>
          <w:tcPr>
            <w:tcW w:w="1701" w:type="dxa"/>
            <w:tcBorders>
              <w:left w:val="single" w:sz="4" w:space="0" w:color="auto"/>
            </w:tcBorders>
          </w:tcPr>
          <w:p w:rsidR="00F83B24" w:rsidRPr="0057022B" w:rsidRDefault="00F83B24" w:rsidP="006F653C">
            <w:pPr>
              <w:pStyle w:val="ListParagraph"/>
              <w:ind w:left="0"/>
              <w:jc w:val="both"/>
              <w:rPr>
                <w:sz w:val="24"/>
                <w:szCs w:val="24"/>
              </w:rPr>
            </w:pPr>
            <w:r w:rsidRPr="0057022B">
              <w:rPr>
                <w:sz w:val="24"/>
                <w:szCs w:val="24"/>
              </w:rPr>
              <w:t>13</w:t>
            </w:r>
            <w:r w:rsidRPr="0057022B">
              <w:rPr>
                <w:sz w:val="24"/>
                <w:szCs w:val="24"/>
                <w:vertAlign w:val="superscript"/>
              </w:rPr>
              <w:t xml:space="preserve">th </w:t>
            </w:r>
            <w:r w:rsidRPr="0057022B">
              <w:rPr>
                <w:sz w:val="24"/>
                <w:szCs w:val="24"/>
              </w:rPr>
              <w:t xml:space="preserve"> April 2012</w:t>
            </w:r>
          </w:p>
        </w:tc>
      </w:tr>
      <w:tr w:rsidR="006E7FB3" w:rsidRPr="0057022B" w:rsidTr="0057022B">
        <w:tc>
          <w:tcPr>
            <w:tcW w:w="851" w:type="dxa"/>
          </w:tcPr>
          <w:p w:rsidR="006E7FB3" w:rsidRPr="0057022B" w:rsidRDefault="006C083F" w:rsidP="006F653C">
            <w:pPr>
              <w:pStyle w:val="ListParagraph"/>
              <w:ind w:left="0"/>
              <w:jc w:val="both"/>
              <w:rPr>
                <w:sz w:val="24"/>
                <w:szCs w:val="24"/>
              </w:rPr>
            </w:pPr>
            <w:r w:rsidRPr="0057022B">
              <w:rPr>
                <w:sz w:val="24"/>
                <w:szCs w:val="24"/>
              </w:rPr>
              <w:t>5</w:t>
            </w:r>
          </w:p>
        </w:tc>
        <w:tc>
          <w:tcPr>
            <w:tcW w:w="5670" w:type="dxa"/>
            <w:tcBorders>
              <w:right w:val="single" w:sz="4" w:space="0" w:color="auto"/>
            </w:tcBorders>
          </w:tcPr>
          <w:p w:rsidR="006E7FB3" w:rsidRPr="0057022B" w:rsidRDefault="006E7FB3" w:rsidP="006D510B">
            <w:pPr>
              <w:jc w:val="both"/>
              <w:rPr>
                <w:sz w:val="24"/>
                <w:szCs w:val="24"/>
              </w:rPr>
            </w:pPr>
            <w:r w:rsidRPr="0057022B">
              <w:rPr>
                <w:sz w:val="24"/>
                <w:szCs w:val="24"/>
              </w:rPr>
              <w:t>Sikkim State Electricity Regulation Commission (Redressal of Grievances of Consumers  and establishment of Forum and Electricity Ombudsman)</w:t>
            </w:r>
          </w:p>
          <w:p w:rsidR="006E7FB3" w:rsidRPr="0057022B" w:rsidRDefault="006E7FB3" w:rsidP="006D510B">
            <w:pPr>
              <w:jc w:val="both"/>
              <w:rPr>
                <w:rFonts w:cs="Times New Roman"/>
                <w:sz w:val="24"/>
                <w:szCs w:val="24"/>
              </w:rPr>
            </w:pPr>
            <w:proofErr w:type="gramStart"/>
            <w:r w:rsidRPr="0057022B">
              <w:rPr>
                <w:sz w:val="24"/>
                <w:szCs w:val="24"/>
              </w:rPr>
              <w:t>Regulations ,</w:t>
            </w:r>
            <w:proofErr w:type="gramEnd"/>
            <w:r w:rsidRPr="0057022B">
              <w:rPr>
                <w:sz w:val="24"/>
                <w:szCs w:val="24"/>
              </w:rPr>
              <w:t xml:space="preserve"> 2012.</w:t>
            </w:r>
          </w:p>
        </w:tc>
        <w:tc>
          <w:tcPr>
            <w:tcW w:w="1559" w:type="dxa"/>
            <w:tcBorders>
              <w:left w:val="single" w:sz="4" w:space="0" w:color="auto"/>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219</w:t>
            </w:r>
          </w:p>
          <w:p w:rsidR="006E7FB3" w:rsidRPr="0057022B" w:rsidRDefault="006E7FB3" w:rsidP="006F653C">
            <w:pPr>
              <w:pStyle w:val="ListParagraph"/>
              <w:ind w:left="0"/>
              <w:jc w:val="both"/>
              <w:rPr>
                <w:sz w:val="24"/>
                <w:szCs w:val="24"/>
              </w:rPr>
            </w:pPr>
          </w:p>
        </w:tc>
        <w:tc>
          <w:tcPr>
            <w:tcW w:w="1701" w:type="dxa"/>
            <w:tcBorders>
              <w:left w:val="single" w:sz="4" w:space="0" w:color="auto"/>
            </w:tcBorders>
          </w:tcPr>
          <w:p w:rsidR="006E7FB3" w:rsidRPr="0057022B" w:rsidRDefault="006E7FB3">
            <w:pPr>
              <w:rPr>
                <w:sz w:val="24"/>
                <w:szCs w:val="24"/>
              </w:rPr>
            </w:pPr>
          </w:p>
          <w:p w:rsidR="006E7FB3" w:rsidRPr="0057022B" w:rsidRDefault="006E7FB3" w:rsidP="006E7FB3">
            <w:pPr>
              <w:pStyle w:val="ListParagraph"/>
              <w:ind w:left="0"/>
              <w:jc w:val="both"/>
              <w:rPr>
                <w:sz w:val="24"/>
                <w:szCs w:val="24"/>
              </w:rPr>
            </w:pPr>
            <w:r w:rsidRPr="0057022B">
              <w:rPr>
                <w:sz w:val="24"/>
                <w:szCs w:val="24"/>
              </w:rPr>
              <w:t>30</w:t>
            </w:r>
            <w:r w:rsidRPr="0057022B">
              <w:rPr>
                <w:sz w:val="24"/>
                <w:szCs w:val="24"/>
                <w:vertAlign w:val="superscript"/>
              </w:rPr>
              <w:t>th</w:t>
            </w:r>
            <w:r w:rsidRPr="0057022B">
              <w:rPr>
                <w:sz w:val="24"/>
                <w:szCs w:val="24"/>
              </w:rPr>
              <w:t xml:space="preserve"> April 2012</w:t>
            </w:r>
          </w:p>
        </w:tc>
      </w:tr>
      <w:tr w:rsidR="006E7FB3" w:rsidRPr="0057022B" w:rsidTr="0057022B">
        <w:tc>
          <w:tcPr>
            <w:tcW w:w="851" w:type="dxa"/>
          </w:tcPr>
          <w:p w:rsidR="006E7FB3" w:rsidRPr="0057022B" w:rsidRDefault="006C083F" w:rsidP="006F653C">
            <w:pPr>
              <w:pStyle w:val="ListParagraph"/>
              <w:ind w:left="0"/>
              <w:jc w:val="both"/>
              <w:rPr>
                <w:sz w:val="24"/>
                <w:szCs w:val="24"/>
              </w:rPr>
            </w:pPr>
            <w:r w:rsidRPr="0057022B">
              <w:rPr>
                <w:sz w:val="24"/>
                <w:szCs w:val="24"/>
              </w:rPr>
              <w:t>6</w:t>
            </w:r>
          </w:p>
        </w:tc>
        <w:tc>
          <w:tcPr>
            <w:tcW w:w="5670" w:type="dxa"/>
            <w:tcBorders>
              <w:right w:val="single" w:sz="4" w:space="0" w:color="auto"/>
            </w:tcBorders>
          </w:tcPr>
          <w:p w:rsidR="006E7FB3" w:rsidRPr="0057022B" w:rsidRDefault="006E7FB3" w:rsidP="0019078B">
            <w:pPr>
              <w:jc w:val="both"/>
              <w:rPr>
                <w:rFonts w:cs="Times New Roman"/>
                <w:sz w:val="24"/>
                <w:szCs w:val="24"/>
              </w:rPr>
            </w:pPr>
            <w:r w:rsidRPr="0057022B">
              <w:rPr>
                <w:rFonts w:cs="Times New Roman"/>
                <w:sz w:val="24"/>
                <w:szCs w:val="24"/>
              </w:rPr>
              <w:t>Sikkim State Electricity Regulatory Commission (Constitution of State Advisory Committee and its Functions) Regulations, 2013</w:t>
            </w:r>
          </w:p>
        </w:tc>
        <w:tc>
          <w:tcPr>
            <w:tcW w:w="1559" w:type="dxa"/>
            <w:tcBorders>
              <w:left w:val="single" w:sz="4" w:space="0" w:color="auto"/>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283</w:t>
            </w:r>
          </w:p>
          <w:p w:rsidR="006E7FB3" w:rsidRPr="0057022B" w:rsidRDefault="006E7FB3" w:rsidP="006F653C">
            <w:pPr>
              <w:pStyle w:val="ListParagraph"/>
              <w:ind w:left="0"/>
              <w:jc w:val="both"/>
              <w:rPr>
                <w:sz w:val="24"/>
                <w:szCs w:val="24"/>
              </w:rPr>
            </w:pPr>
          </w:p>
        </w:tc>
        <w:tc>
          <w:tcPr>
            <w:tcW w:w="1701" w:type="dxa"/>
            <w:tcBorders>
              <w:left w:val="single" w:sz="4" w:space="0" w:color="auto"/>
            </w:tcBorders>
          </w:tcPr>
          <w:p w:rsidR="006E7FB3" w:rsidRPr="0057022B" w:rsidRDefault="006E7FB3">
            <w:pPr>
              <w:rPr>
                <w:sz w:val="24"/>
                <w:szCs w:val="24"/>
              </w:rPr>
            </w:pPr>
          </w:p>
          <w:p w:rsidR="006E7FB3" w:rsidRPr="0057022B" w:rsidRDefault="006E7FB3" w:rsidP="006E7FB3">
            <w:pPr>
              <w:pStyle w:val="ListParagraph"/>
              <w:ind w:left="0"/>
              <w:jc w:val="both"/>
              <w:rPr>
                <w:sz w:val="24"/>
                <w:szCs w:val="24"/>
              </w:rPr>
            </w:pPr>
            <w:r w:rsidRPr="0057022B">
              <w:rPr>
                <w:sz w:val="24"/>
                <w:szCs w:val="24"/>
              </w:rPr>
              <w:t>11</w:t>
            </w:r>
            <w:r w:rsidRPr="0057022B">
              <w:rPr>
                <w:sz w:val="24"/>
                <w:szCs w:val="24"/>
                <w:vertAlign w:val="superscript"/>
              </w:rPr>
              <w:t>th</w:t>
            </w:r>
            <w:r w:rsidRPr="0057022B">
              <w:rPr>
                <w:sz w:val="24"/>
                <w:szCs w:val="24"/>
              </w:rPr>
              <w:t xml:space="preserve"> June 2013</w:t>
            </w:r>
          </w:p>
        </w:tc>
      </w:tr>
      <w:tr w:rsidR="006E7FB3" w:rsidRPr="0057022B" w:rsidTr="0057022B">
        <w:tc>
          <w:tcPr>
            <w:tcW w:w="851" w:type="dxa"/>
          </w:tcPr>
          <w:p w:rsidR="006E7FB3" w:rsidRPr="0057022B" w:rsidRDefault="006C083F" w:rsidP="006F653C">
            <w:pPr>
              <w:pStyle w:val="ListParagraph"/>
              <w:ind w:left="0"/>
              <w:jc w:val="both"/>
              <w:rPr>
                <w:sz w:val="24"/>
                <w:szCs w:val="24"/>
              </w:rPr>
            </w:pPr>
            <w:r w:rsidRPr="0057022B">
              <w:rPr>
                <w:sz w:val="24"/>
                <w:szCs w:val="24"/>
              </w:rPr>
              <w:t>7</w:t>
            </w:r>
          </w:p>
        </w:tc>
        <w:tc>
          <w:tcPr>
            <w:tcW w:w="5670" w:type="dxa"/>
            <w:tcBorders>
              <w:right w:val="single" w:sz="4" w:space="0" w:color="auto"/>
            </w:tcBorders>
          </w:tcPr>
          <w:p w:rsidR="006E7FB3" w:rsidRPr="0057022B" w:rsidRDefault="006E7FB3" w:rsidP="007B5639">
            <w:pPr>
              <w:jc w:val="both"/>
              <w:rPr>
                <w:rFonts w:cs="Times New Roman"/>
                <w:sz w:val="24"/>
                <w:szCs w:val="24"/>
              </w:rPr>
            </w:pPr>
            <w:r w:rsidRPr="0057022B">
              <w:rPr>
                <w:rFonts w:cs="Times New Roman"/>
                <w:sz w:val="24"/>
                <w:szCs w:val="24"/>
              </w:rPr>
              <w:t>Sikkim State Electricity Regulatory Commission (Terms and Conditions of Intra-state Open Access) Regulations, 2012</w:t>
            </w:r>
          </w:p>
        </w:tc>
        <w:tc>
          <w:tcPr>
            <w:tcW w:w="1559" w:type="dxa"/>
            <w:tcBorders>
              <w:left w:val="single" w:sz="4" w:space="0" w:color="auto"/>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309</w:t>
            </w:r>
          </w:p>
          <w:p w:rsidR="006E7FB3" w:rsidRPr="0057022B" w:rsidRDefault="006E7FB3" w:rsidP="006F653C">
            <w:pPr>
              <w:pStyle w:val="ListParagraph"/>
              <w:ind w:left="0"/>
              <w:jc w:val="both"/>
              <w:rPr>
                <w:sz w:val="24"/>
                <w:szCs w:val="24"/>
              </w:rPr>
            </w:pPr>
          </w:p>
        </w:tc>
        <w:tc>
          <w:tcPr>
            <w:tcW w:w="1701" w:type="dxa"/>
            <w:tcBorders>
              <w:left w:val="single" w:sz="4" w:space="0" w:color="auto"/>
            </w:tcBorders>
          </w:tcPr>
          <w:p w:rsidR="006E7FB3" w:rsidRPr="0057022B" w:rsidRDefault="006E7FB3">
            <w:pPr>
              <w:rPr>
                <w:sz w:val="24"/>
                <w:szCs w:val="24"/>
              </w:rPr>
            </w:pPr>
            <w:r w:rsidRPr="0057022B">
              <w:rPr>
                <w:sz w:val="24"/>
                <w:szCs w:val="24"/>
              </w:rPr>
              <w:t>30</w:t>
            </w:r>
            <w:r w:rsidRPr="0057022B">
              <w:rPr>
                <w:sz w:val="24"/>
                <w:szCs w:val="24"/>
                <w:vertAlign w:val="superscript"/>
              </w:rPr>
              <w:t>th</w:t>
            </w:r>
            <w:r w:rsidRPr="0057022B">
              <w:rPr>
                <w:sz w:val="24"/>
                <w:szCs w:val="24"/>
              </w:rPr>
              <w:t xml:space="preserve"> June 2012</w:t>
            </w:r>
          </w:p>
          <w:p w:rsidR="006E7FB3" w:rsidRPr="0057022B" w:rsidRDefault="006E7FB3" w:rsidP="006E7FB3">
            <w:pPr>
              <w:pStyle w:val="ListParagraph"/>
              <w:ind w:left="0"/>
              <w:jc w:val="both"/>
              <w:rPr>
                <w:sz w:val="24"/>
                <w:szCs w:val="24"/>
              </w:rPr>
            </w:pPr>
          </w:p>
        </w:tc>
      </w:tr>
      <w:tr w:rsidR="006E7FB3" w:rsidRPr="0057022B" w:rsidTr="0057022B">
        <w:tc>
          <w:tcPr>
            <w:tcW w:w="851" w:type="dxa"/>
          </w:tcPr>
          <w:p w:rsidR="006E7FB3" w:rsidRPr="0057022B" w:rsidRDefault="006C083F" w:rsidP="006F653C">
            <w:pPr>
              <w:pStyle w:val="ListParagraph"/>
              <w:ind w:left="0"/>
              <w:jc w:val="both"/>
              <w:rPr>
                <w:sz w:val="24"/>
                <w:szCs w:val="24"/>
              </w:rPr>
            </w:pPr>
            <w:r w:rsidRPr="0057022B">
              <w:rPr>
                <w:sz w:val="24"/>
                <w:szCs w:val="24"/>
              </w:rPr>
              <w:t>8</w:t>
            </w:r>
          </w:p>
        </w:tc>
        <w:tc>
          <w:tcPr>
            <w:tcW w:w="5670" w:type="dxa"/>
            <w:tcBorders>
              <w:right w:val="single" w:sz="4" w:space="0" w:color="auto"/>
            </w:tcBorders>
          </w:tcPr>
          <w:p w:rsidR="006E7FB3" w:rsidRPr="0057022B" w:rsidRDefault="006E7FB3" w:rsidP="006F653C">
            <w:pPr>
              <w:jc w:val="both"/>
              <w:rPr>
                <w:sz w:val="24"/>
                <w:szCs w:val="24"/>
              </w:rPr>
            </w:pPr>
            <w:r w:rsidRPr="0057022B">
              <w:rPr>
                <w:sz w:val="24"/>
                <w:szCs w:val="24"/>
              </w:rPr>
              <w:t xml:space="preserve">Sikkim State Electricity Regulation Commission (Terms and Conditions for </w:t>
            </w:r>
            <w:r w:rsidR="0030165C" w:rsidRPr="0057022B">
              <w:rPr>
                <w:sz w:val="24"/>
                <w:szCs w:val="24"/>
              </w:rPr>
              <w:t>determination of</w:t>
            </w:r>
            <w:r w:rsidRPr="0057022B">
              <w:rPr>
                <w:sz w:val="24"/>
                <w:szCs w:val="24"/>
              </w:rPr>
              <w:t xml:space="preserve"> Tariff for Generation from Renewable Energy Sources</w:t>
            </w:r>
            <w:proofErr w:type="gramStart"/>
            <w:r w:rsidRPr="0057022B">
              <w:rPr>
                <w:sz w:val="24"/>
                <w:szCs w:val="24"/>
              </w:rPr>
              <w:t>)  Regulations</w:t>
            </w:r>
            <w:proofErr w:type="gramEnd"/>
            <w:r w:rsidRPr="0057022B">
              <w:rPr>
                <w:sz w:val="24"/>
                <w:szCs w:val="24"/>
              </w:rPr>
              <w:t xml:space="preserve"> , 2012.</w:t>
            </w:r>
          </w:p>
        </w:tc>
        <w:tc>
          <w:tcPr>
            <w:tcW w:w="1559" w:type="dxa"/>
            <w:tcBorders>
              <w:left w:val="single" w:sz="4" w:space="0" w:color="auto"/>
              <w:right w:val="single" w:sz="4" w:space="0" w:color="auto"/>
            </w:tcBorders>
          </w:tcPr>
          <w:p w:rsidR="006E7FB3" w:rsidRPr="0057022B" w:rsidRDefault="006E7FB3" w:rsidP="006F653C">
            <w:pPr>
              <w:jc w:val="both"/>
              <w:rPr>
                <w:sz w:val="24"/>
                <w:szCs w:val="24"/>
              </w:rPr>
            </w:pPr>
            <w:r w:rsidRPr="0057022B">
              <w:rPr>
                <w:sz w:val="24"/>
                <w:szCs w:val="24"/>
              </w:rPr>
              <w:t xml:space="preserve">512 </w:t>
            </w:r>
          </w:p>
          <w:p w:rsidR="006E7FB3" w:rsidRPr="0057022B" w:rsidRDefault="006E7FB3" w:rsidP="006F653C">
            <w:pPr>
              <w:jc w:val="both"/>
              <w:rPr>
                <w:sz w:val="24"/>
                <w:szCs w:val="24"/>
              </w:rPr>
            </w:pPr>
          </w:p>
        </w:tc>
        <w:tc>
          <w:tcPr>
            <w:tcW w:w="1701" w:type="dxa"/>
            <w:tcBorders>
              <w:left w:val="single" w:sz="4" w:space="0" w:color="auto"/>
            </w:tcBorders>
          </w:tcPr>
          <w:p w:rsidR="006E7FB3" w:rsidRPr="0057022B" w:rsidRDefault="006E7FB3" w:rsidP="006F653C">
            <w:pPr>
              <w:jc w:val="both"/>
              <w:rPr>
                <w:sz w:val="24"/>
                <w:szCs w:val="24"/>
              </w:rPr>
            </w:pPr>
            <w:r w:rsidRPr="0057022B">
              <w:rPr>
                <w:sz w:val="24"/>
                <w:szCs w:val="24"/>
              </w:rPr>
              <w:t>11</w:t>
            </w:r>
            <w:r w:rsidRPr="0057022B">
              <w:rPr>
                <w:sz w:val="24"/>
                <w:szCs w:val="24"/>
                <w:vertAlign w:val="superscript"/>
              </w:rPr>
              <w:t>th</w:t>
            </w:r>
            <w:r w:rsidRPr="0057022B">
              <w:rPr>
                <w:sz w:val="24"/>
                <w:szCs w:val="24"/>
              </w:rPr>
              <w:t xml:space="preserve"> October 2012</w:t>
            </w:r>
          </w:p>
        </w:tc>
      </w:tr>
      <w:tr w:rsidR="006E7FB3" w:rsidRPr="0057022B" w:rsidTr="0057022B">
        <w:tc>
          <w:tcPr>
            <w:tcW w:w="851" w:type="dxa"/>
          </w:tcPr>
          <w:p w:rsidR="006E7FB3" w:rsidRPr="0057022B" w:rsidRDefault="00D44DC0" w:rsidP="006F653C">
            <w:pPr>
              <w:pStyle w:val="ListParagraph"/>
              <w:ind w:left="0"/>
              <w:jc w:val="both"/>
              <w:rPr>
                <w:sz w:val="24"/>
                <w:szCs w:val="24"/>
              </w:rPr>
            </w:pPr>
            <w:r>
              <w:rPr>
                <w:sz w:val="24"/>
                <w:szCs w:val="24"/>
              </w:rPr>
              <w:t>9</w:t>
            </w:r>
          </w:p>
        </w:tc>
        <w:tc>
          <w:tcPr>
            <w:tcW w:w="5670" w:type="dxa"/>
            <w:tcBorders>
              <w:right w:val="single" w:sz="4" w:space="0" w:color="auto"/>
            </w:tcBorders>
          </w:tcPr>
          <w:p w:rsidR="006E7FB3" w:rsidRPr="0057022B" w:rsidRDefault="006E7FB3" w:rsidP="006F653C">
            <w:pPr>
              <w:pStyle w:val="ListParagraph"/>
              <w:ind w:left="0"/>
              <w:jc w:val="both"/>
              <w:rPr>
                <w:sz w:val="24"/>
                <w:szCs w:val="24"/>
              </w:rPr>
            </w:pPr>
            <w:r w:rsidRPr="0057022B">
              <w:rPr>
                <w:sz w:val="24"/>
                <w:szCs w:val="24"/>
              </w:rPr>
              <w:t>Sikkim State Electricity Regulation Commission (Renewable Energy Purchase Obligations and Its Compliance) Regulations, 2012.</w:t>
            </w:r>
          </w:p>
        </w:tc>
        <w:tc>
          <w:tcPr>
            <w:tcW w:w="1559" w:type="dxa"/>
            <w:tcBorders>
              <w:left w:val="single" w:sz="4" w:space="0" w:color="auto"/>
              <w:right w:val="single" w:sz="4" w:space="0" w:color="auto"/>
            </w:tcBorders>
          </w:tcPr>
          <w:p w:rsidR="006E7FB3" w:rsidRPr="0057022B" w:rsidRDefault="004F2D59" w:rsidP="006F653C">
            <w:pPr>
              <w:pStyle w:val="ListParagraph"/>
              <w:ind w:left="0"/>
              <w:jc w:val="both"/>
              <w:rPr>
                <w:sz w:val="24"/>
                <w:szCs w:val="24"/>
              </w:rPr>
            </w:pPr>
            <w:r w:rsidRPr="0057022B">
              <w:rPr>
                <w:sz w:val="24"/>
                <w:szCs w:val="24"/>
              </w:rPr>
              <w:t>536</w:t>
            </w:r>
          </w:p>
        </w:tc>
        <w:tc>
          <w:tcPr>
            <w:tcW w:w="1701" w:type="dxa"/>
            <w:tcBorders>
              <w:left w:val="single" w:sz="4" w:space="0" w:color="auto"/>
            </w:tcBorders>
          </w:tcPr>
          <w:p w:rsidR="006E7FB3" w:rsidRPr="0057022B" w:rsidRDefault="004F2D59" w:rsidP="006F653C">
            <w:pPr>
              <w:pStyle w:val="ListParagraph"/>
              <w:ind w:left="0"/>
              <w:jc w:val="both"/>
              <w:rPr>
                <w:sz w:val="24"/>
                <w:szCs w:val="24"/>
              </w:rPr>
            </w:pPr>
            <w:r w:rsidRPr="0057022B">
              <w:rPr>
                <w:sz w:val="24"/>
                <w:szCs w:val="24"/>
              </w:rPr>
              <w:t>27</w:t>
            </w:r>
            <w:r w:rsidRPr="0057022B">
              <w:rPr>
                <w:sz w:val="24"/>
                <w:szCs w:val="24"/>
                <w:vertAlign w:val="superscript"/>
              </w:rPr>
              <w:t>th</w:t>
            </w:r>
            <w:r w:rsidRPr="0057022B">
              <w:rPr>
                <w:sz w:val="24"/>
                <w:szCs w:val="24"/>
              </w:rPr>
              <w:t xml:space="preserve"> September 2013</w:t>
            </w:r>
          </w:p>
        </w:tc>
      </w:tr>
      <w:tr w:rsidR="006E7FB3" w:rsidRPr="0057022B" w:rsidTr="0057022B">
        <w:tc>
          <w:tcPr>
            <w:tcW w:w="851" w:type="dxa"/>
          </w:tcPr>
          <w:p w:rsidR="006E7FB3" w:rsidRPr="0057022B" w:rsidRDefault="00D44DC0" w:rsidP="006F653C">
            <w:pPr>
              <w:pStyle w:val="ListParagraph"/>
              <w:ind w:left="0"/>
              <w:jc w:val="both"/>
              <w:rPr>
                <w:sz w:val="24"/>
                <w:szCs w:val="24"/>
              </w:rPr>
            </w:pPr>
            <w:r>
              <w:rPr>
                <w:sz w:val="24"/>
                <w:szCs w:val="24"/>
              </w:rPr>
              <w:t>10</w:t>
            </w:r>
          </w:p>
        </w:tc>
        <w:tc>
          <w:tcPr>
            <w:tcW w:w="5670" w:type="dxa"/>
            <w:tcBorders>
              <w:right w:val="single" w:sz="4" w:space="0" w:color="auto"/>
            </w:tcBorders>
          </w:tcPr>
          <w:p w:rsidR="006E7FB3" w:rsidRPr="0057022B" w:rsidRDefault="006E7FB3" w:rsidP="006F653C">
            <w:pPr>
              <w:pStyle w:val="ListParagraph"/>
              <w:ind w:left="0"/>
              <w:jc w:val="both"/>
              <w:rPr>
                <w:rFonts w:ascii="Calibri" w:hAnsi="Calibri"/>
                <w:sz w:val="24"/>
                <w:szCs w:val="24"/>
              </w:rPr>
            </w:pPr>
            <w:r w:rsidRPr="0057022B">
              <w:rPr>
                <w:rFonts w:ascii="Calibri" w:hAnsi="Calibri"/>
                <w:sz w:val="24"/>
                <w:szCs w:val="24"/>
              </w:rPr>
              <w:t>Sikkim State Electricity Regulatory Commission (State Grid Code ) Regulations, 2013</w:t>
            </w:r>
          </w:p>
        </w:tc>
        <w:tc>
          <w:tcPr>
            <w:tcW w:w="1559" w:type="dxa"/>
            <w:tcBorders>
              <w:left w:val="single" w:sz="4" w:space="0" w:color="auto"/>
              <w:right w:val="single" w:sz="4" w:space="0" w:color="auto"/>
            </w:tcBorders>
          </w:tcPr>
          <w:p w:rsidR="006E7FB3" w:rsidRPr="0057022B" w:rsidRDefault="006E7FB3" w:rsidP="006F653C">
            <w:pPr>
              <w:pStyle w:val="ListParagraph"/>
              <w:ind w:left="0"/>
              <w:jc w:val="both"/>
              <w:rPr>
                <w:rFonts w:ascii="Calibri" w:hAnsi="Calibri"/>
                <w:sz w:val="24"/>
                <w:szCs w:val="24"/>
              </w:rPr>
            </w:pPr>
          </w:p>
        </w:tc>
        <w:tc>
          <w:tcPr>
            <w:tcW w:w="1701" w:type="dxa"/>
            <w:tcBorders>
              <w:left w:val="single" w:sz="4" w:space="0" w:color="auto"/>
            </w:tcBorders>
          </w:tcPr>
          <w:p w:rsidR="006E7FB3" w:rsidRPr="0057022B" w:rsidRDefault="006E7FB3" w:rsidP="006F653C">
            <w:pPr>
              <w:pStyle w:val="ListParagraph"/>
              <w:ind w:left="0"/>
              <w:jc w:val="both"/>
              <w:rPr>
                <w:rFonts w:ascii="Calibri" w:hAnsi="Calibri"/>
                <w:sz w:val="24"/>
                <w:szCs w:val="24"/>
              </w:rPr>
            </w:pPr>
          </w:p>
        </w:tc>
      </w:tr>
      <w:tr w:rsidR="006E7FB3" w:rsidRPr="0057022B" w:rsidTr="0057022B">
        <w:tc>
          <w:tcPr>
            <w:tcW w:w="851" w:type="dxa"/>
          </w:tcPr>
          <w:p w:rsidR="006E7FB3" w:rsidRPr="0057022B" w:rsidRDefault="00D44DC0" w:rsidP="006F653C">
            <w:pPr>
              <w:pStyle w:val="ListParagraph"/>
              <w:ind w:left="0"/>
              <w:jc w:val="both"/>
              <w:rPr>
                <w:sz w:val="24"/>
                <w:szCs w:val="24"/>
              </w:rPr>
            </w:pPr>
            <w:r>
              <w:rPr>
                <w:sz w:val="24"/>
                <w:szCs w:val="24"/>
              </w:rPr>
              <w:t>11</w:t>
            </w:r>
          </w:p>
        </w:tc>
        <w:tc>
          <w:tcPr>
            <w:tcW w:w="5670" w:type="dxa"/>
            <w:tcBorders>
              <w:right w:val="single" w:sz="4" w:space="0" w:color="auto"/>
            </w:tcBorders>
          </w:tcPr>
          <w:p w:rsidR="006E7FB3" w:rsidRPr="0057022B" w:rsidRDefault="00D44DC0" w:rsidP="006F653C">
            <w:pPr>
              <w:pStyle w:val="ListParagraph"/>
              <w:ind w:left="0"/>
              <w:jc w:val="both"/>
              <w:rPr>
                <w:rFonts w:ascii="Calibri" w:hAnsi="Calibri"/>
                <w:sz w:val="24"/>
                <w:szCs w:val="24"/>
              </w:rPr>
            </w:pPr>
            <w:r w:rsidRPr="0057022B">
              <w:rPr>
                <w:rFonts w:ascii="Calibri" w:hAnsi="Calibri"/>
                <w:sz w:val="24"/>
                <w:szCs w:val="24"/>
              </w:rPr>
              <w:t xml:space="preserve">Sikkim State Electricity Regulatory Commission </w:t>
            </w:r>
            <w:r>
              <w:rPr>
                <w:rFonts w:ascii="Calibri" w:hAnsi="Calibri"/>
              </w:rPr>
              <w:t>(Terms and Conditions for Determination of Tariff for Generation, Transmission, Wheeling and Distribution &amp; Retail Supply under Multi Year Tariff Framework) Regulations, 2013.</w:t>
            </w:r>
          </w:p>
        </w:tc>
        <w:tc>
          <w:tcPr>
            <w:tcW w:w="1559" w:type="dxa"/>
            <w:tcBorders>
              <w:left w:val="single" w:sz="4" w:space="0" w:color="auto"/>
              <w:right w:val="single" w:sz="4" w:space="0" w:color="auto"/>
            </w:tcBorders>
          </w:tcPr>
          <w:p w:rsidR="006E7FB3" w:rsidRPr="0057022B" w:rsidRDefault="00D44DC0" w:rsidP="006F653C">
            <w:pPr>
              <w:pStyle w:val="ListParagraph"/>
              <w:ind w:left="0"/>
              <w:jc w:val="both"/>
              <w:rPr>
                <w:rFonts w:ascii="Calibri" w:hAnsi="Calibri"/>
                <w:sz w:val="24"/>
                <w:szCs w:val="24"/>
              </w:rPr>
            </w:pPr>
            <w:r>
              <w:rPr>
                <w:rFonts w:ascii="Calibri" w:hAnsi="Calibri"/>
                <w:sz w:val="24"/>
                <w:szCs w:val="24"/>
              </w:rPr>
              <w:t>204</w:t>
            </w:r>
          </w:p>
        </w:tc>
        <w:tc>
          <w:tcPr>
            <w:tcW w:w="1701" w:type="dxa"/>
            <w:tcBorders>
              <w:left w:val="single" w:sz="4" w:space="0" w:color="auto"/>
            </w:tcBorders>
          </w:tcPr>
          <w:p w:rsidR="006E7FB3" w:rsidRPr="0057022B" w:rsidRDefault="00D44DC0" w:rsidP="006F653C">
            <w:pPr>
              <w:pStyle w:val="ListParagraph"/>
              <w:ind w:left="0"/>
              <w:jc w:val="both"/>
              <w:rPr>
                <w:rFonts w:ascii="Calibri" w:hAnsi="Calibri"/>
                <w:sz w:val="24"/>
                <w:szCs w:val="24"/>
              </w:rPr>
            </w:pPr>
            <w:r>
              <w:rPr>
                <w:rFonts w:ascii="Calibri" w:hAnsi="Calibri"/>
                <w:sz w:val="24"/>
                <w:szCs w:val="24"/>
              </w:rPr>
              <w:t>21</w:t>
            </w:r>
            <w:r w:rsidRPr="00D44DC0">
              <w:rPr>
                <w:rFonts w:ascii="Calibri" w:hAnsi="Calibri"/>
                <w:sz w:val="24"/>
                <w:szCs w:val="24"/>
                <w:vertAlign w:val="superscript"/>
              </w:rPr>
              <w:t>st</w:t>
            </w:r>
            <w:r>
              <w:rPr>
                <w:rFonts w:ascii="Calibri" w:hAnsi="Calibri"/>
                <w:sz w:val="24"/>
                <w:szCs w:val="24"/>
              </w:rPr>
              <w:t xml:space="preserve"> November 2014</w:t>
            </w:r>
          </w:p>
        </w:tc>
      </w:tr>
    </w:tbl>
    <w:p w:rsidR="00C74554" w:rsidRDefault="00C74554" w:rsidP="0096170D">
      <w:pPr>
        <w:rPr>
          <w:b/>
          <w:sz w:val="24"/>
          <w:szCs w:val="24"/>
        </w:rPr>
      </w:pPr>
    </w:p>
    <w:p w:rsidR="006F653C" w:rsidRPr="00C74554" w:rsidRDefault="00EE5C6F" w:rsidP="0096170D">
      <w:pPr>
        <w:rPr>
          <w:b/>
          <w:sz w:val="28"/>
          <w:szCs w:val="28"/>
        </w:rPr>
      </w:pPr>
      <w:r w:rsidRPr="00C74554">
        <w:rPr>
          <w:b/>
          <w:sz w:val="28"/>
          <w:szCs w:val="28"/>
        </w:rPr>
        <w:t>B</w:t>
      </w:r>
      <w:r w:rsidR="0096170D" w:rsidRPr="00C74554">
        <w:rPr>
          <w:b/>
          <w:sz w:val="28"/>
          <w:szCs w:val="28"/>
        </w:rPr>
        <w:t>. Tariff Orders.</w:t>
      </w:r>
    </w:p>
    <w:p w:rsidR="0096170D" w:rsidRPr="00C74554" w:rsidRDefault="0096170D" w:rsidP="0096170D">
      <w:pPr>
        <w:jc w:val="both"/>
        <w:rPr>
          <w:sz w:val="28"/>
          <w:szCs w:val="28"/>
        </w:rPr>
      </w:pPr>
      <w:r w:rsidRPr="00C74554">
        <w:rPr>
          <w:sz w:val="28"/>
          <w:szCs w:val="28"/>
        </w:rPr>
        <w:t>The Commission has so far issued the following Tariff Orders:</w:t>
      </w:r>
    </w:p>
    <w:tbl>
      <w:tblPr>
        <w:tblStyle w:val="TableGrid"/>
        <w:tblW w:w="0" w:type="auto"/>
        <w:tblInd w:w="250" w:type="dxa"/>
        <w:tblLook w:val="04A0"/>
      </w:tblPr>
      <w:tblGrid>
        <w:gridCol w:w="740"/>
        <w:gridCol w:w="1408"/>
        <w:gridCol w:w="2126"/>
        <w:gridCol w:w="5670"/>
      </w:tblGrid>
      <w:tr w:rsidR="00E301F5" w:rsidRPr="00C74554" w:rsidTr="00C74554">
        <w:tc>
          <w:tcPr>
            <w:tcW w:w="577" w:type="dxa"/>
          </w:tcPr>
          <w:p w:rsidR="00E301F5" w:rsidRPr="00C74554" w:rsidRDefault="00E301F5" w:rsidP="0096170D">
            <w:pPr>
              <w:jc w:val="both"/>
              <w:rPr>
                <w:b/>
                <w:sz w:val="24"/>
                <w:szCs w:val="24"/>
              </w:rPr>
            </w:pPr>
            <w:proofErr w:type="spellStart"/>
            <w:r w:rsidRPr="00C74554">
              <w:rPr>
                <w:b/>
                <w:sz w:val="24"/>
                <w:szCs w:val="24"/>
              </w:rPr>
              <w:t>Sl.No</w:t>
            </w:r>
            <w:proofErr w:type="spellEnd"/>
          </w:p>
        </w:tc>
        <w:tc>
          <w:tcPr>
            <w:tcW w:w="1408" w:type="dxa"/>
          </w:tcPr>
          <w:p w:rsidR="00E301F5" w:rsidRPr="00C74554" w:rsidRDefault="00E301F5" w:rsidP="0096170D">
            <w:pPr>
              <w:jc w:val="both"/>
              <w:rPr>
                <w:b/>
                <w:sz w:val="24"/>
                <w:szCs w:val="24"/>
              </w:rPr>
            </w:pPr>
            <w:r w:rsidRPr="00C74554">
              <w:rPr>
                <w:b/>
                <w:sz w:val="24"/>
                <w:szCs w:val="24"/>
              </w:rPr>
              <w:t>Year</w:t>
            </w:r>
          </w:p>
        </w:tc>
        <w:tc>
          <w:tcPr>
            <w:tcW w:w="2126" w:type="dxa"/>
          </w:tcPr>
          <w:p w:rsidR="00E301F5" w:rsidRPr="00C74554" w:rsidRDefault="00E301F5" w:rsidP="0096170D">
            <w:pPr>
              <w:jc w:val="both"/>
              <w:rPr>
                <w:b/>
                <w:sz w:val="24"/>
                <w:szCs w:val="24"/>
              </w:rPr>
            </w:pPr>
            <w:r w:rsidRPr="00C74554">
              <w:rPr>
                <w:b/>
                <w:sz w:val="24"/>
                <w:szCs w:val="24"/>
              </w:rPr>
              <w:t>Date of Order</w:t>
            </w:r>
          </w:p>
        </w:tc>
        <w:tc>
          <w:tcPr>
            <w:tcW w:w="5670" w:type="dxa"/>
          </w:tcPr>
          <w:p w:rsidR="00E301F5" w:rsidRPr="00C74554" w:rsidRDefault="00E301F5" w:rsidP="0096170D">
            <w:pPr>
              <w:jc w:val="both"/>
              <w:rPr>
                <w:b/>
                <w:sz w:val="24"/>
                <w:szCs w:val="24"/>
              </w:rPr>
            </w:pPr>
            <w:r w:rsidRPr="00C74554">
              <w:rPr>
                <w:b/>
                <w:sz w:val="24"/>
                <w:szCs w:val="24"/>
              </w:rPr>
              <w:t>Name of the Licensee</w:t>
            </w:r>
            <w:r w:rsidR="003F55D3">
              <w:rPr>
                <w:b/>
                <w:sz w:val="24"/>
                <w:szCs w:val="24"/>
              </w:rPr>
              <w:t xml:space="preserve"> </w:t>
            </w:r>
          </w:p>
        </w:tc>
      </w:tr>
      <w:tr w:rsidR="00E301F5" w:rsidRPr="00C74554" w:rsidTr="00C74554">
        <w:tc>
          <w:tcPr>
            <w:tcW w:w="577" w:type="dxa"/>
          </w:tcPr>
          <w:p w:rsidR="00E301F5" w:rsidRPr="00C74554" w:rsidRDefault="00E301F5" w:rsidP="0096170D">
            <w:pPr>
              <w:jc w:val="both"/>
              <w:rPr>
                <w:sz w:val="24"/>
                <w:szCs w:val="24"/>
              </w:rPr>
            </w:pPr>
            <w:r w:rsidRPr="00C74554">
              <w:rPr>
                <w:sz w:val="24"/>
                <w:szCs w:val="24"/>
              </w:rPr>
              <w:t>1.</w:t>
            </w:r>
          </w:p>
        </w:tc>
        <w:tc>
          <w:tcPr>
            <w:tcW w:w="1408" w:type="dxa"/>
          </w:tcPr>
          <w:p w:rsidR="00E301F5" w:rsidRPr="00C74554" w:rsidRDefault="00E301F5" w:rsidP="0096170D">
            <w:pPr>
              <w:jc w:val="both"/>
              <w:rPr>
                <w:sz w:val="24"/>
                <w:szCs w:val="24"/>
              </w:rPr>
            </w:pPr>
            <w:r w:rsidRPr="00C74554">
              <w:rPr>
                <w:sz w:val="24"/>
                <w:szCs w:val="24"/>
              </w:rPr>
              <w:t>2012-13</w:t>
            </w:r>
          </w:p>
        </w:tc>
        <w:tc>
          <w:tcPr>
            <w:tcW w:w="2126" w:type="dxa"/>
          </w:tcPr>
          <w:p w:rsidR="00E301F5" w:rsidRPr="00C74554" w:rsidRDefault="00E301F5" w:rsidP="0096170D">
            <w:pPr>
              <w:jc w:val="both"/>
              <w:rPr>
                <w:sz w:val="24"/>
                <w:szCs w:val="24"/>
              </w:rPr>
            </w:pPr>
            <w:r w:rsidRPr="00C74554">
              <w:rPr>
                <w:sz w:val="24"/>
                <w:szCs w:val="24"/>
              </w:rPr>
              <w:t>30</w:t>
            </w:r>
            <w:r w:rsidRPr="00C74554">
              <w:rPr>
                <w:sz w:val="24"/>
                <w:szCs w:val="24"/>
                <w:vertAlign w:val="superscript"/>
              </w:rPr>
              <w:t>th</w:t>
            </w:r>
            <w:r w:rsidRPr="00C74554">
              <w:rPr>
                <w:sz w:val="24"/>
                <w:szCs w:val="24"/>
              </w:rPr>
              <w:t xml:space="preserve"> March 2012</w:t>
            </w:r>
          </w:p>
        </w:tc>
        <w:tc>
          <w:tcPr>
            <w:tcW w:w="5670" w:type="dxa"/>
          </w:tcPr>
          <w:p w:rsidR="00E301F5" w:rsidRPr="00C74554" w:rsidRDefault="00E301F5" w:rsidP="0096170D">
            <w:pPr>
              <w:jc w:val="both"/>
              <w:rPr>
                <w:sz w:val="24"/>
                <w:szCs w:val="24"/>
              </w:rPr>
            </w:pPr>
            <w:r w:rsidRPr="00C74554">
              <w:rPr>
                <w:sz w:val="24"/>
                <w:szCs w:val="24"/>
              </w:rPr>
              <w:t>Energy &amp;Power Department, Government of Sikkim.</w:t>
            </w:r>
          </w:p>
        </w:tc>
      </w:tr>
      <w:tr w:rsidR="00E301F5" w:rsidRPr="00C74554" w:rsidTr="00C74554">
        <w:tc>
          <w:tcPr>
            <w:tcW w:w="577" w:type="dxa"/>
          </w:tcPr>
          <w:p w:rsidR="00E301F5" w:rsidRPr="00C74554" w:rsidRDefault="00E301F5" w:rsidP="0096170D">
            <w:pPr>
              <w:jc w:val="both"/>
              <w:rPr>
                <w:sz w:val="24"/>
                <w:szCs w:val="24"/>
              </w:rPr>
            </w:pPr>
            <w:r w:rsidRPr="00C74554">
              <w:rPr>
                <w:sz w:val="24"/>
                <w:szCs w:val="24"/>
              </w:rPr>
              <w:t>2.</w:t>
            </w:r>
          </w:p>
        </w:tc>
        <w:tc>
          <w:tcPr>
            <w:tcW w:w="1408" w:type="dxa"/>
          </w:tcPr>
          <w:p w:rsidR="00E301F5" w:rsidRPr="00C74554" w:rsidRDefault="00E301F5" w:rsidP="0096170D">
            <w:pPr>
              <w:jc w:val="both"/>
              <w:rPr>
                <w:sz w:val="24"/>
                <w:szCs w:val="24"/>
              </w:rPr>
            </w:pPr>
            <w:r w:rsidRPr="00C74554">
              <w:rPr>
                <w:sz w:val="24"/>
                <w:szCs w:val="24"/>
              </w:rPr>
              <w:t>2013-14</w:t>
            </w:r>
          </w:p>
        </w:tc>
        <w:tc>
          <w:tcPr>
            <w:tcW w:w="2126" w:type="dxa"/>
          </w:tcPr>
          <w:p w:rsidR="00E301F5" w:rsidRPr="00C74554" w:rsidRDefault="00E301F5" w:rsidP="0096170D">
            <w:pPr>
              <w:jc w:val="both"/>
              <w:rPr>
                <w:sz w:val="24"/>
                <w:szCs w:val="24"/>
              </w:rPr>
            </w:pPr>
            <w:r w:rsidRPr="00C74554">
              <w:rPr>
                <w:sz w:val="24"/>
                <w:szCs w:val="24"/>
              </w:rPr>
              <w:t>30</w:t>
            </w:r>
            <w:r w:rsidRPr="00C74554">
              <w:rPr>
                <w:sz w:val="24"/>
                <w:szCs w:val="24"/>
                <w:vertAlign w:val="superscript"/>
              </w:rPr>
              <w:t>th</w:t>
            </w:r>
            <w:r w:rsidRPr="00C74554">
              <w:rPr>
                <w:sz w:val="24"/>
                <w:szCs w:val="24"/>
              </w:rPr>
              <w:t xml:space="preserve"> March 2013</w:t>
            </w:r>
          </w:p>
        </w:tc>
        <w:tc>
          <w:tcPr>
            <w:tcW w:w="5670" w:type="dxa"/>
          </w:tcPr>
          <w:p w:rsidR="00E301F5" w:rsidRPr="00C74554" w:rsidRDefault="00E301F5" w:rsidP="00611974">
            <w:pPr>
              <w:jc w:val="both"/>
              <w:rPr>
                <w:sz w:val="24"/>
                <w:szCs w:val="24"/>
              </w:rPr>
            </w:pPr>
            <w:r w:rsidRPr="00C74554">
              <w:rPr>
                <w:sz w:val="24"/>
                <w:szCs w:val="24"/>
              </w:rPr>
              <w:t>Energy &amp;Power Department, Government of Sikkim.</w:t>
            </w:r>
          </w:p>
        </w:tc>
      </w:tr>
      <w:tr w:rsidR="00E301F5" w:rsidRPr="00C74554" w:rsidTr="00C74554">
        <w:tc>
          <w:tcPr>
            <w:tcW w:w="577" w:type="dxa"/>
          </w:tcPr>
          <w:p w:rsidR="00E301F5" w:rsidRPr="00C74554" w:rsidRDefault="00E301F5" w:rsidP="0096170D">
            <w:pPr>
              <w:jc w:val="both"/>
              <w:rPr>
                <w:sz w:val="24"/>
                <w:szCs w:val="24"/>
              </w:rPr>
            </w:pPr>
            <w:r w:rsidRPr="00C74554">
              <w:rPr>
                <w:sz w:val="24"/>
                <w:szCs w:val="24"/>
              </w:rPr>
              <w:t>3.</w:t>
            </w:r>
          </w:p>
        </w:tc>
        <w:tc>
          <w:tcPr>
            <w:tcW w:w="1408" w:type="dxa"/>
          </w:tcPr>
          <w:p w:rsidR="00E301F5" w:rsidRPr="00C74554" w:rsidRDefault="00E301F5" w:rsidP="0096170D">
            <w:pPr>
              <w:jc w:val="both"/>
              <w:rPr>
                <w:sz w:val="24"/>
                <w:szCs w:val="24"/>
              </w:rPr>
            </w:pPr>
            <w:r w:rsidRPr="00C74554">
              <w:rPr>
                <w:sz w:val="24"/>
                <w:szCs w:val="24"/>
              </w:rPr>
              <w:t>2014-15</w:t>
            </w:r>
          </w:p>
        </w:tc>
        <w:tc>
          <w:tcPr>
            <w:tcW w:w="2126" w:type="dxa"/>
          </w:tcPr>
          <w:p w:rsidR="00E301F5" w:rsidRPr="00C74554" w:rsidRDefault="00E301F5" w:rsidP="0096170D">
            <w:pPr>
              <w:jc w:val="both"/>
              <w:rPr>
                <w:sz w:val="24"/>
                <w:szCs w:val="24"/>
              </w:rPr>
            </w:pPr>
            <w:r w:rsidRPr="00C74554">
              <w:rPr>
                <w:sz w:val="24"/>
                <w:szCs w:val="24"/>
              </w:rPr>
              <w:t>15</w:t>
            </w:r>
            <w:r w:rsidRPr="00C74554">
              <w:rPr>
                <w:sz w:val="24"/>
                <w:szCs w:val="24"/>
                <w:vertAlign w:val="superscript"/>
              </w:rPr>
              <w:t>th</w:t>
            </w:r>
            <w:r w:rsidRPr="00C74554">
              <w:rPr>
                <w:sz w:val="24"/>
                <w:szCs w:val="24"/>
              </w:rPr>
              <w:t xml:space="preserve"> April 2014.</w:t>
            </w:r>
          </w:p>
        </w:tc>
        <w:tc>
          <w:tcPr>
            <w:tcW w:w="5670" w:type="dxa"/>
          </w:tcPr>
          <w:p w:rsidR="00E301F5" w:rsidRPr="00C74554" w:rsidRDefault="00E301F5" w:rsidP="00611974">
            <w:pPr>
              <w:jc w:val="both"/>
              <w:rPr>
                <w:sz w:val="24"/>
                <w:szCs w:val="24"/>
              </w:rPr>
            </w:pPr>
            <w:r w:rsidRPr="00C74554">
              <w:rPr>
                <w:sz w:val="24"/>
                <w:szCs w:val="24"/>
              </w:rPr>
              <w:t>Energy &amp;Power Department, Government of Sikkim.</w:t>
            </w:r>
          </w:p>
        </w:tc>
      </w:tr>
    </w:tbl>
    <w:p w:rsidR="00EE5C6F" w:rsidRPr="00EB7948" w:rsidRDefault="00EE5C6F" w:rsidP="00EE5C6F">
      <w:pPr>
        <w:jc w:val="both"/>
        <w:rPr>
          <w:b/>
          <w:sz w:val="28"/>
          <w:szCs w:val="28"/>
        </w:rPr>
      </w:pPr>
    </w:p>
    <w:p w:rsidR="00CD551F" w:rsidRDefault="00CD551F" w:rsidP="00EE5C6F">
      <w:pPr>
        <w:jc w:val="both"/>
        <w:rPr>
          <w:b/>
          <w:sz w:val="32"/>
          <w:szCs w:val="32"/>
        </w:rPr>
      </w:pPr>
    </w:p>
    <w:p w:rsidR="00EE5C6F" w:rsidRPr="002B5B10" w:rsidRDefault="00EE5C6F" w:rsidP="00EE5C6F">
      <w:pPr>
        <w:jc w:val="both"/>
        <w:rPr>
          <w:b/>
          <w:sz w:val="32"/>
          <w:szCs w:val="32"/>
        </w:rPr>
      </w:pPr>
      <w:r w:rsidRPr="002B5B10">
        <w:rPr>
          <w:b/>
          <w:sz w:val="32"/>
          <w:szCs w:val="32"/>
        </w:rPr>
        <w:lastRenderedPageBreak/>
        <w:t>C. Tariff Petitions.</w:t>
      </w:r>
    </w:p>
    <w:p w:rsidR="00EE5C6F" w:rsidRPr="002B5B10" w:rsidRDefault="00EE5C6F" w:rsidP="00EE5C6F">
      <w:pPr>
        <w:jc w:val="both"/>
        <w:rPr>
          <w:sz w:val="32"/>
          <w:szCs w:val="32"/>
        </w:rPr>
      </w:pPr>
      <w:r w:rsidRPr="002B5B10">
        <w:rPr>
          <w:sz w:val="32"/>
          <w:szCs w:val="32"/>
        </w:rPr>
        <w:t>The following is the list of Tariff Petition filed so far before the Commission:</w:t>
      </w:r>
    </w:p>
    <w:tbl>
      <w:tblPr>
        <w:tblStyle w:val="TableGrid"/>
        <w:tblW w:w="0" w:type="auto"/>
        <w:tblLook w:val="04A0"/>
      </w:tblPr>
      <w:tblGrid>
        <w:gridCol w:w="959"/>
        <w:gridCol w:w="2551"/>
        <w:gridCol w:w="6521"/>
      </w:tblGrid>
      <w:tr w:rsidR="00EE5C6F" w:rsidRPr="002B5B10" w:rsidTr="00EE5C6F">
        <w:tc>
          <w:tcPr>
            <w:tcW w:w="959" w:type="dxa"/>
          </w:tcPr>
          <w:p w:rsidR="00EE5C6F" w:rsidRPr="0057022B" w:rsidRDefault="00EE5C6F" w:rsidP="00611974">
            <w:pPr>
              <w:jc w:val="both"/>
              <w:rPr>
                <w:b/>
                <w:sz w:val="28"/>
                <w:szCs w:val="28"/>
              </w:rPr>
            </w:pPr>
            <w:proofErr w:type="spellStart"/>
            <w:r w:rsidRPr="0057022B">
              <w:rPr>
                <w:b/>
                <w:sz w:val="28"/>
                <w:szCs w:val="28"/>
              </w:rPr>
              <w:t>Sl.No</w:t>
            </w:r>
            <w:proofErr w:type="spellEnd"/>
          </w:p>
        </w:tc>
        <w:tc>
          <w:tcPr>
            <w:tcW w:w="2551" w:type="dxa"/>
          </w:tcPr>
          <w:p w:rsidR="00EE5C6F" w:rsidRPr="0057022B" w:rsidRDefault="00EE5C6F" w:rsidP="00611974">
            <w:pPr>
              <w:jc w:val="both"/>
              <w:rPr>
                <w:b/>
                <w:sz w:val="28"/>
                <w:szCs w:val="28"/>
              </w:rPr>
            </w:pPr>
            <w:r w:rsidRPr="0057022B">
              <w:rPr>
                <w:b/>
                <w:sz w:val="28"/>
                <w:szCs w:val="28"/>
              </w:rPr>
              <w:t>Year of Petition</w:t>
            </w:r>
          </w:p>
        </w:tc>
        <w:tc>
          <w:tcPr>
            <w:tcW w:w="6521" w:type="dxa"/>
          </w:tcPr>
          <w:p w:rsidR="00EE5C6F" w:rsidRPr="0057022B" w:rsidRDefault="00EE5C6F" w:rsidP="00611974">
            <w:pPr>
              <w:jc w:val="both"/>
              <w:rPr>
                <w:b/>
                <w:sz w:val="28"/>
                <w:szCs w:val="28"/>
              </w:rPr>
            </w:pPr>
            <w:r w:rsidRPr="0057022B">
              <w:rPr>
                <w:b/>
                <w:sz w:val="28"/>
                <w:szCs w:val="28"/>
              </w:rPr>
              <w:t>Name of the Licensee</w:t>
            </w:r>
          </w:p>
        </w:tc>
      </w:tr>
      <w:tr w:rsidR="00EE5C6F" w:rsidRPr="002B5B10" w:rsidTr="00EE5C6F">
        <w:tc>
          <w:tcPr>
            <w:tcW w:w="959" w:type="dxa"/>
          </w:tcPr>
          <w:p w:rsidR="00EE5C6F" w:rsidRPr="0057022B" w:rsidRDefault="00EE5C6F" w:rsidP="00611974">
            <w:pPr>
              <w:jc w:val="both"/>
              <w:rPr>
                <w:sz w:val="28"/>
                <w:szCs w:val="28"/>
              </w:rPr>
            </w:pPr>
            <w:r w:rsidRPr="0057022B">
              <w:rPr>
                <w:sz w:val="28"/>
                <w:szCs w:val="28"/>
              </w:rPr>
              <w:t>1.</w:t>
            </w:r>
          </w:p>
        </w:tc>
        <w:tc>
          <w:tcPr>
            <w:tcW w:w="2551" w:type="dxa"/>
          </w:tcPr>
          <w:p w:rsidR="00EE5C6F" w:rsidRPr="0057022B" w:rsidRDefault="00EE5C6F" w:rsidP="00611974">
            <w:pPr>
              <w:jc w:val="both"/>
              <w:rPr>
                <w:sz w:val="28"/>
                <w:szCs w:val="28"/>
              </w:rPr>
            </w:pPr>
            <w:r w:rsidRPr="0057022B">
              <w:rPr>
                <w:sz w:val="28"/>
                <w:szCs w:val="28"/>
              </w:rPr>
              <w:t>2013-14</w:t>
            </w:r>
          </w:p>
        </w:tc>
        <w:tc>
          <w:tcPr>
            <w:tcW w:w="6521" w:type="dxa"/>
          </w:tcPr>
          <w:p w:rsidR="00EE5C6F" w:rsidRPr="0057022B" w:rsidRDefault="00EE5C6F" w:rsidP="00611974">
            <w:pPr>
              <w:jc w:val="both"/>
              <w:rPr>
                <w:sz w:val="28"/>
                <w:szCs w:val="28"/>
              </w:rPr>
            </w:pPr>
            <w:r w:rsidRPr="0057022B">
              <w:rPr>
                <w:sz w:val="28"/>
                <w:szCs w:val="28"/>
              </w:rPr>
              <w:t>Energy &amp;Power Department, Government of Sikkim.</w:t>
            </w:r>
          </w:p>
        </w:tc>
      </w:tr>
      <w:tr w:rsidR="00EE5C6F" w:rsidRPr="002B5B10" w:rsidTr="00EE5C6F">
        <w:tc>
          <w:tcPr>
            <w:tcW w:w="959" w:type="dxa"/>
          </w:tcPr>
          <w:p w:rsidR="00EE5C6F" w:rsidRPr="0057022B" w:rsidRDefault="00EE5C6F" w:rsidP="00611974">
            <w:pPr>
              <w:jc w:val="both"/>
              <w:rPr>
                <w:sz w:val="28"/>
                <w:szCs w:val="28"/>
              </w:rPr>
            </w:pPr>
            <w:r w:rsidRPr="0057022B">
              <w:rPr>
                <w:sz w:val="28"/>
                <w:szCs w:val="28"/>
              </w:rPr>
              <w:t>2.</w:t>
            </w:r>
          </w:p>
        </w:tc>
        <w:tc>
          <w:tcPr>
            <w:tcW w:w="2551" w:type="dxa"/>
          </w:tcPr>
          <w:p w:rsidR="00EE5C6F" w:rsidRPr="0057022B" w:rsidRDefault="00EE5C6F" w:rsidP="00611974">
            <w:pPr>
              <w:jc w:val="both"/>
              <w:rPr>
                <w:sz w:val="28"/>
                <w:szCs w:val="28"/>
              </w:rPr>
            </w:pPr>
            <w:r w:rsidRPr="0057022B">
              <w:rPr>
                <w:sz w:val="28"/>
                <w:szCs w:val="28"/>
              </w:rPr>
              <w:t>2014-15</w:t>
            </w:r>
          </w:p>
        </w:tc>
        <w:tc>
          <w:tcPr>
            <w:tcW w:w="6521" w:type="dxa"/>
          </w:tcPr>
          <w:p w:rsidR="00EE5C6F" w:rsidRPr="0057022B" w:rsidRDefault="00EE5C6F" w:rsidP="00611974">
            <w:pPr>
              <w:jc w:val="both"/>
              <w:rPr>
                <w:sz w:val="28"/>
                <w:szCs w:val="28"/>
              </w:rPr>
            </w:pPr>
            <w:r w:rsidRPr="0057022B">
              <w:rPr>
                <w:sz w:val="28"/>
                <w:szCs w:val="28"/>
              </w:rPr>
              <w:t>Energy &amp;Power Department, Government of Sikkim.</w:t>
            </w:r>
          </w:p>
        </w:tc>
      </w:tr>
    </w:tbl>
    <w:p w:rsidR="00EE5C6F" w:rsidRPr="00C90E02" w:rsidRDefault="00EE5C6F" w:rsidP="0096170D">
      <w:pPr>
        <w:jc w:val="both"/>
        <w:rPr>
          <w:b/>
          <w:sz w:val="28"/>
          <w:szCs w:val="28"/>
        </w:rPr>
      </w:pPr>
    </w:p>
    <w:p w:rsidR="003D1912" w:rsidRDefault="003D1912" w:rsidP="00177387">
      <w:pPr>
        <w:pStyle w:val="NoSpacing"/>
        <w:rPr>
          <w:b/>
          <w:sz w:val="32"/>
          <w:szCs w:val="32"/>
        </w:rPr>
      </w:pPr>
      <w:r w:rsidRPr="00C90E02">
        <w:rPr>
          <w:b/>
          <w:sz w:val="32"/>
          <w:szCs w:val="32"/>
        </w:rPr>
        <w:t>D. Orders</w:t>
      </w:r>
      <w:r w:rsidR="00177387">
        <w:rPr>
          <w:b/>
          <w:sz w:val="32"/>
          <w:szCs w:val="32"/>
        </w:rPr>
        <w:t>.</w:t>
      </w:r>
    </w:p>
    <w:tbl>
      <w:tblPr>
        <w:tblStyle w:val="TableGrid"/>
        <w:tblW w:w="10206" w:type="dxa"/>
        <w:tblInd w:w="250" w:type="dxa"/>
        <w:tblLook w:val="04A0"/>
      </w:tblPr>
      <w:tblGrid>
        <w:gridCol w:w="827"/>
        <w:gridCol w:w="5090"/>
        <w:gridCol w:w="2877"/>
        <w:gridCol w:w="1412"/>
      </w:tblGrid>
      <w:tr w:rsidR="0018573D" w:rsidRPr="0018573D" w:rsidTr="0018573D">
        <w:tc>
          <w:tcPr>
            <w:tcW w:w="740" w:type="dxa"/>
          </w:tcPr>
          <w:p w:rsidR="00177387" w:rsidRPr="0018573D" w:rsidRDefault="00177387" w:rsidP="0036457B">
            <w:pPr>
              <w:pStyle w:val="ListParagraph"/>
              <w:ind w:left="0"/>
              <w:jc w:val="both"/>
              <w:rPr>
                <w:b/>
                <w:sz w:val="28"/>
                <w:szCs w:val="28"/>
              </w:rPr>
            </w:pPr>
            <w:proofErr w:type="spellStart"/>
            <w:r w:rsidRPr="0018573D">
              <w:rPr>
                <w:b/>
                <w:sz w:val="28"/>
                <w:szCs w:val="28"/>
              </w:rPr>
              <w:t>Sl.No</w:t>
            </w:r>
            <w:proofErr w:type="spellEnd"/>
          </w:p>
        </w:tc>
        <w:tc>
          <w:tcPr>
            <w:tcW w:w="5149" w:type="dxa"/>
            <w:tcBorders>
              <w:right w:val="single" w:sz="4" w:space="0" w:color="auto"/>
            </w:tcBorders>
          </w:tcPr>
          <w:p w:rsidR="00177387" w:rsidRPr="0018573D" w:rsidRDefault="00177387" w:rsidP="00177387">
            <w:pPr>
              <w:pStyle w:val="ListParagraph"/>
              <w:ind w:left="0"/>
              <w:jc w:val="both"/>
              <w:rPr>
                <w:b/>
                <w:sz w:val="28"/>
                <w:szCs w:val="28"/>
              </w:rPr>
            </w:pPr>
            <w:r w:rsidRPr="0018573D">
              <w:rPr>
                <w:b/>
                <w:sz w:val="28"/>
                <w:szCs w:val="28"/>
              </w:rPr>
              <w:t xml:space="preserve">Name/description  of the Order </w:t>
            </w:r>
          </w:p>
        </w:tc>
        <w:tc>
          <w:tcPr>
            <w:tcW w:w="2900" w:type="dxa"/>
            <w:tcBorders>
              <w:left w:val="single" w:sz="4" w:space="0" w:color="auto"/>
              <w:right w:val="single" w:sz="4" w:space="0" w:color="auto"/>
            </w:tcBorders>
          </w:tcPr>
          <w:p w:rsidR="00177387" w:rsidRPr="0018573D" w:rsidRDefault="00177387" w:rsidP="0036457B">
            <w:pPr>
              <w:pStyle w:val="ListParagraph"/>
              <w:ind w:left="0"/>
              <w:jc w:val="both"/>
              <w:rPr>
                <w:b/>
                <w:sz w:val="28"/>
                <w:szCs w:val="28"/>
              </w:rPr>
            </w:pPr>
            <w:r w:rsidRPr="0018573D">
              <w:rPr>
                <w:b/>
                <w:sz w:val="28"/>
                <w:szCs w:val="28"/>
              </w:rPr>
              <w:t>Notification No</w:t>
            </w:r>
          </w:p>
        </w:tc>
        <w:tc>
          <w:tcPr>
            <w:tcW w:w="1417" w:type="dxa"/>
            <w:tcBorders>
              <w:left w:val="single" w:sz="4" w:space="0" w:color="auto"/>
            </w:tcBorders>
          </w:tcPr>
          <w:p w:rsidR="00177387" w:rsidRPr="0018573D" w:rsidRDefault="00177387" w:rsidP="0036457B">
            <w:pPr>
              <w:pStyle w:val="ListParagraph"/>
              <w:ind w:left="0"/>
              <w:jc w:val="both"/>
              <w:rPr>
                <w:b/>
                <w:sz w:val="28"/>
                <w:szCs w:val="28"/>
              </w:rPr>
            </w:pPr>
            <w:r w:rsidRPr="0018573D">
              <w:rPr>
                <w:b/>
                <w:sz w:val="28"/>
                <w:szCs w:val="28"/>
              </w:rPr>
              <w:t>Date</w:t>
            </w:r>
          </w:p>
        </w:tc>
      </w:tr>
      <w:tr w:rsidR="00177387" w:rsidRPr="0018573D" w:rsidTr="0018573D">
        <w:tc>
          <w:tcPr>
            <w:tcW w:w="740" w:type="dxa"/>
          </w:tcPr>
          <w:p w:rsidR="00177387" w:rsidRPr="0018573D" w:rsidRDefault="00177387" w:rsidP="0036457B">
            <w:pPr>
              <w:pStyle w:val="ListParagraph"/>
              <w:ind w:left="0"/>
              <w:jc w:val="both"/>
              <w:rPr>
                <w:sz w:val="28"/>
                <w:szCs w:val="28"/>
              </w:rPr>
            </w:pPr>
            <w:r w:rsidRPr="0018573D">
              <w:rPr>
                <w:sz w:val="28"/>
                <w:szCs w:val="28"/>
              </w:rPr>
              <w:t>1</w:t>
            </w:r>
          </w:p>
        </w:tc>
        <w:tc>
          <w:tcPr>
            <w:tcW w:w="5149" w:type="dxa"/>
            <w:tcBorders>
              <w:right w:val="single" w:sz="4" w:space="0" w:color="auto"/>
            </w:tcBorders>
          </w:tcPr>
          <w:p w:rsidR="00177387" w:rsidRPr="0018573D" w:rsidRDefault="00177387" w:rsidP="00177387">
            <w:pPr>
              <w:pStyle w:val="ListParagraph"/>
              <w:ind w:left="0"/>
              <w:jc w:val="both"/>
              <w:rPr>
                <w:b/>
                <w:sz w:val="28"/>
                <w:szCs w:val="28"/>
              </w:rPr>
            </w:pPr>
            <w:r w:rsidRPr="0018573D">
              <w:rPr>
                <w:rFonts w:ascii="Calibri" w:hAnsi="Calibri"/>
                <w:sz w:val="28"/>
                <w:szCs w:val="28"/>
              </w:rPr>
              <w:t>Sikkim State Electricity Regulatory Commission (Terms and Conditions for appointment of Electricity Ombudsman) Order, 2013.</w:t>
            </w:r>
          </w:p>
        </w:tc>
        <w:tc>
          <w:tcPr>
            <w:tcW w:w="2900" w:type="dxa"/>
            <w:tcBorders>
              <w:left w:val="single" w:sz="4" w:space="0" w:color="auto"/>
              <w:right w:val="single" w:sz="4" w:space="0" w:color="auto"/>
            </w:tcBorders>
          </w:tcPr>
          <w:p w:rsidR="00177387" w:rsidRPr="00602711" w:rsidRDefault="007572E2" w:rsidP="0036457B">
            <w:pPr>
              <w:pStyle w:val="ListParagraph"/>
              <w:ind w:left="0"/>
              <w:jc w:val="both"/>
              <w:rPr>
                <w:sz w:val="24"/>
                <w:szCs w:val="24"/>
              </w:rPr>
            </w:pPr>
            <w:r w:rsidRPr="00602711">
              <w:rPr>
                <w:sz w:val="24"/>
                <w:szCs w:val="24"/>
              </w:rPr>
              <w:t>01/SSERC/2014-15/170</w:t>
            </w:r>
          </w:p>
        </w:tc>
        <w:tc>
          <w:tcPr>
            <w:tcW w:w="1417" w:type="dxa"/>
            <w:tcBorders>
              <w:left w:val="single" w:sz="4" w:space="0" w:color="auto"/>
            </w:tcBorders>
          </w:tcPr>
          <w:p w:rsidR="00177387" w:rsidRPr="00602711" w:rsidRDefault="007572E2" w:rsidP="0036457B">
            <w:pPr>
              <w:pStyle w:val="ListParagraph"/>
              <w:ind w:left="0"/>
              <w:jc w:val="both"/>
              <w:rPr>
                <w:sz w:val="24"/>
                <w:szCs w:val="24"/>
              </w:rPr>
            </w:pPr>
            <w:r w:rsidRPr="00602711">
              <w:rPr>
                <w:sz w:val="24"/>
                <w:szCs w:val="24"/>
              </w:rPr>
              <w:t>20.32014.</w:t>
            </w:r>
          </w:p>
        </w:tc>
      </w:tr>
    </w:tbl>
    <w:p w:rsidR="00177387" w:rsidRPr="0018573D" w:rsidRDefault="00177387" w:rsidP="00C90E02">
      <w:pPr>
        <w:pStyle w:val="NoSpacing"/>
        <w:rPr>
          <w:b/>
          <w:sz w:val="28"/>
          <w:szCs w:val="28"/>
        </w:rPr>
      </w:pPr>
    </w:p>
    <w:p w:rsidR="00177387" w:rsidRPr="009723F6" w:rsidRDefault="00DC36C7" w:rsidP="00C90E02">
      <w:pPr>
        <w:pStyle w:val="NoSpacing"/>
        <w:rPr>
          <w:b/>
          <w:sz w:val="32"/>
          <w:szCs w:val="32"/>
        </w:rPr>
      </w:pPr>
      <w:r w:rsidRPr="009723F6">
        <w:rPr>
          <w:b/>
          <w:sz w:val="32"/>
          <w:szCs w:val="32"/>
        </w:rPr>
        <w:t>E. Notifications</w:t>
      </w:r>
    </w:p>
    <w:tbl>
      <w:tblPr>
        <w:tblStyle w:val="TableGrid"/>
        <w:tblW w:w="10206" w:type="dxa"/>
        <w:tblInd w:w="250" w:type="dxa"/>
        <w:tblLook w:val="04A0"/>
      </w:tblPr>
      <w:tblGrid>
        <w:gridCol w:w="827"/>
        <w:gridCol w:w="5151"/>
        <w:gridCol w:w="2535"/>
        <w:gridCol w:w="1693"/>
      </w:tblGrid>
      <w:tr w:rsidR="00DC36C7" w:rsidRPr="0018573D" w:rsidTr="0018573D">
        <w:tc>
          <w:tcPr>
            <w:tcW w:w="740" w:type="dxa"/>
          </w:tcPr>
          <w:p w:rsidR="00DC36C7" w:rsidRPr="0018573D" w:rsidRDefault="00DC36C7" w:rsidP="0036457B">
            <w:pPr>
              <w:pStyle w:val="ListParagraph"/>
              <w:ind w:left="0"/>
              <w:jc w:val="both"/>
              <w:rPr>
                <w:b/>
                <w:sz w:val="28"/>
                <w:szCs w:val="28"/>
              </w:rPr>
            </w:pPr>
            <w:proofErr w:type="spellStart"/>
            <w:r w:rsidRPr="0018573D">
              <w:rPr>
                <w:b/>
                <w:sz w:val="28"/>
                <w:szCs w:val="28"/>
              </w:rPr>
              <w:t>Sl.No</w:t>
            </w:r>
            <w:proofErr w:type="spellEnd"/>
          </w:p>
        </w:tc>
        <w:tc>
          <w:tcPr>
            <w:tcW w:w="5214" w:type="dxa"/>
            <w:tcBorders>
              <w:right w:val="single" w:sz="4" w:space="0" w:color="auto"/>
            </w:tcBorders>
          </w:tcPr>
          <w:p w:rsidR="00DC36C7" w:rsidRPr="0018573D" w:rsidRDefault="00DC36C7" w:rsidP="00DC36C7">
            <w:pPr>
              <w:pStyle w:val="ListParagraph"/>
              <w:ind w:left="0"/>
              <w:jc w:val="both"/>
              <w:rPr>
                <w:b/>
                <w:sz w:val="28"/>
                <w:szCs w:val="28"/>
              </w:rPr>
            </w:pPr>
            <w:r w:rsidRPr="0018573D">
              <w:rPr>
                <w:b/>
                <w:sz w:val="28"/>
                <w:szCs w:val="28"/>
              </w:rPr>
              <w:t>Name/description  of the Notification</w:t>
            </w:r>
          </w:p>
        </w:tc>
        <w:tc>
          <w:tcPr>
            <w:tcW w:w="2551" w:type="dxa"/>
            <w:tcBorders>
              <w:left w:val="single" w:sz="4" w:space="0" w:color="auto"/>
              <w:right w:val="single" w:sz="4" w:space="0" w:color="auto"/>
            </w:tcBorders>
          </w:tcPr>
          <w:p w:rsidR="00DC36C7" w:rsidRPr="0018573D" w:rsidRDefault="00DC36C7" w:rsidP="0036457B">
            <w:pPr>
              <w:pStyle w:val="ListParagraph"/>
              <w:ind w:left="0"/>
              <w:jc w:val="both"/>
              <w:rPr>
                <w:b/>
                <w:sz w:val="28"/>
                <w:szCs w:val="28"/>
              </w:rPr>
            </w:pPr>
            <w:r w:rsidRPr="0018573D">
              <w:rPr>
                <w:b/>
                <w:sz w:val="28"/>
                <w:szCs w:val="28"/>
              </w:rPr>
              <w:t>Notification No</w:t>
            </w:r>
            <w:r w:rsidR="00F35B36" w:rsidRPr="0018573D">
              <w:rPr>
                <w:b/>
                <w:sz w:val="28"/>
                <w:szCs w:val="28"/>
              </w:rPr>
              <w:t>.</w:t>
            </w:r>
          </w:p>
        </w:tc>
        <w:tc>
          <w:tcPr>
            <w:tcW w:w="1701" w:type="dxa"/>
            <w:tcBorders>
              <w:left w:val="single" w:sz="4" w:space="0" w:color="auto"/>
            </w:tcBorders>
          </w:tcPr>
          <w:p w:rsidR="00DC36C7" w:rsidRPr="0018573D" w:rsidRDefault="00DC36C7" w:rsidP="0036457B">
            <w:pPr>
              <w:pStyle w:val="ListParagraph"/>
              <w:ind w:left="0"/>
              <w:jc w:val="both"/>
              <w:rPr>
                <w:b/>
                <w:sz w:val="28"/>
                <w:szCs w:val="28"/>
              </w:rPr>
            </w:pPr>
            <w:r w:rsidRPr="0018573D">
              <w:rPr>
                <w:b/>
                <w:sz w:val="28"/>
                <w:szCs w:val="28"/>
              </w:rPr>
              <w:t>Date</w:t>
            </w:r>
          </w:p>
        </w:tc>
      </w:tr>
      <w:tr w:rsidR="00DC36C7" w:rsidRPr="00602711" w:rsidTr="0018573D">
        <w:tc>
          <w:tcPr>
            <w:tcW w:w="740" w:type="dxa"/>
          </w:tcPr>
          <w:p w:rsidR="00DC36C7" w:rsidRPr="00602711" w:rsidRDefault="00DC36C7" w:rsidP="0036457B">
            <w:pPr>
              <w:pStyle w:val="ListParagraph"/>
              <w:ind w:left="0"/>
              <w:jc w:val="both"/>
              <w:rPr>
                <w:sz w:val="28"/>
                <w:szCs w:val="28"/>
              </w:rPr>
            </w:pPr>
            <w:r w:rsidRPr="00602711">
              <w:rPr>
                <w:sz w:val="28"/>
                <w:szCs w:val="28"/>
              </w:rPr>
              <w:t>1</w:t>
            </w:r>
          </w:p>
        </w:tc>
        <w:tc>
          <w:tcPr>
            <w:tcW w:w="5214" w:type="dxa"/>
            <w:tcBorders>
              <w:right w:val="single" w:sz="4" w:space="0" w:color="auto"/>
            </w:tcBorders>
          </w:tcPr>
          <w:p w:rsidR="00DC36C7" w:rsidRPr="00A61534" w:rsidRDefault="00DC36C7" w:rsidP="00DC36C7">
            <w:pPr>
              <w:pStyle w:val="ListParagraph"/>
              <w:ind w:left="0"/>
              <w:jc w:val="both"/>
              <w:rPr>
                <w:sz w:val="28"/>
                <w:szCs w:val="28"/>
              </w:rPr>
            </w:pPr>
            <w:r w:rsidRPr="00A61534">
              <w:rPr>
                <w:sz w:val="28"/>
                <w:szCs w:val="28"/>
              </w:rPr>
              <w:t>Constitution of State Advisory Committee</w:t>
            </w:r>
          </w:p>
        </w:tc>
        <w:tc>
          <w:tcPr>
            <w:tcW w:w="2551" w:type="dxa"/>
            <w:tcBorders>
              <w:left w:val="single" w:sz="4" w:space="0" w:color="auto"/>
              <w:right w:val="single" w:sz="4" w:space="0" w:color="auto"/>
            </w:tcBorders>
          </w:tcPr>
          <w:p w:rsidR="00DC36C7" w:rsidRPr="00A61534" w:rsidRDefault="00B84483" w:rsidP="0036457B">
            <w:pPr>
              <w:pStyle w:val="ListParagraph"/>
              <w:ind w:left="0"/>
              <w:jc w:val="both"/>
              <w:rPr>
                <w:sz w:val="28"/>
                <w:szCs w:val="28"/>
              </w:rPr>
            </w:pPr>
            <w:r>
              <w:rPr>
                <w:sz w:val="28"/>
                <w:szCs w:val="28"/>
              </w:rPr>
              <w:t>09/SSERC/AC/</w:t>
            </w:r>
          </w:p>
        </w:tc>
        <w:tc>
          <w:tcPr>
            <w:tcW w:w="1701" w:type="dxa"/>
            <w:tcBorders>
              <w:left w:val="single" w:sz="4" w:space="0" w:color="auto"/>
            </w:tcBorders>
          </w:tcPr>
          <w:p w:rsidR="00DC36C7" w:rsidRPr="00A61534" w:rsidRDefault="00F35B36" w:rsidP="0036457B">
            <w:pPr>
              <w:pStyle w:val="ListParagraph"/>
              <w:ind w:left="0"/>
              <w:jc w:val="both"/>
              <w:rPr>
                <w:sz w:val="28"/>
                <w:szCs w:val="28"/>
              </w:rPr>
            </w:pPr>
            <w:r w:rsidRPr="00A61534">
              <w:rPr>
                <w:sz w:val="28"/>
                <w:szCs w:val="28"/>
              </w:rPr>
              <w:t>26.6.2014</w:t>
            </w:r>
          </w:p>
        </w:tc>
      </w:tr>
    </w:tbl>
    <w:p w:rsidR="00DC36C7" w:rsidRPr="00602711" w:rsidRDefault="00DC36C7" w:rsidP="00C90E02">
      <w:pPr>
        <w:pStyle w:val="NoSpacing"/>
        <w:rPr>
          <w:b/>
          <w:sz w:val="28"/>
          <w:szCs w:val="28"/>
        </w:rPr>
      </w:pPr>
    </w:p>
    <w:p w:rsidR="00C90E02" w:rsidRPr="003D1912" w:rsidRDefault="00C90E02" w:rsidP="00C90E02">
      <w:pPr>
        <w:pStyle w:val="NoSpacing"/>
      </w:pPr>
    </w:p>
    <w:p w:rsidR="00457FC6" w:rsidRDefault="00457FC6" w:rsidP="0096170D">
      <w:pPr>
        <w:jc w:val="both"/>
        <w:rPr>
          <w:sz w:val="32"/>
          <w:szCs w:val="32"/>
        </w:rPr>
      </w:pPr>
      <w:r w:rsidRPr="002B5B10">
        <w:rPr>
          <w:sz w:val="32"/>
          <w:szCs w:val="32"/>
        </w:rPr>
        <w:t>Note: Above mentioned Documents/Tariff orders/Regulations are available in the website of the Commission (</w:t>
      </w:r>
      <w:hyperlink r:id="rId6" w:history="1">
        <w:r w:rsidRPr="002B5B10">
          <w:rPr>
            <w:rStyle w:val="Hyperlink"/>
            <w:sz w:val="32"/>
            <w:szCs w:val="32"/>
          </w:rPr>
          <w:t>www.sserc.in</w:t>
        </w:r>
      </w:hyperlink>
      <w:r w:rsidRPr="002B5B10">
        <w:rPr>
          <w:sz w:val="32"/>
          <w:szCs w:val="32"/>
        </w:rPr>
        <w:t>). The certified copies of the d</w:t>
      </w:r>
      <w:r w:rsidR="0057022B">
        <w:rPr>
          <w:sz w:val="32"/>
          <w:szCs w:val="32"/>
        </w:rPr>
        <w:t>ocuments/orders and Regulations</w:t>
      </w:r>
      <w:r w:rsidRPr="002B5B10">
        <w:rPr>
          <w:sz w:val="32"/>
          <w:szCs w:val="32"/>
        </w:rPr>
        <w:t>,</w:t>
      </w:r>
      <w:r w:rsidR="00577AE5">
        <w:rPr>
          <w:sz w:val="32"/>
          <w:szCs w:val="32"/>
        </w:rPr>
        <w:t xml:space="preserve"> </w:t>
      </w:r>
      <w:r w:rsidRPr="002B5B10">
        <w:rPr>
          <w:sz w:val="32"/>
          <w:szCs w:val="32"/>
        </w:rPr>
        <w:t xml:space="preserve">petitions and other permissible documents can be obtained by interested persons/parties by applying to the Office of the Secretary of the Commission and paying the necessary fees. </w:t>
      </w:r>
    </w:p>
    <w:p w:rsidR="009F38E2" w:rsidRDefault="009F38E2" w:rsidP="0096170D">
      <w:pPr>
        <w:jc w:val="both"/>
        <w:rPr>
          <w:sz w:val="32"/>
          <w:szCs w:val="32"/>
        </w:rPr>
      </w:pPr>
    </w:p>
    <w:p w:rsidR="009F38E2" w:rsidRDefault="009F38E2" w:rsidP="0096170D">
      <w:pPr>
        <w:jc w:val="both"/>
        <w:rPr>
          <w:sz w:val="32"/>
          <w:szCs w:val="32"/>
        </w:rPr>
      </w:pPr>
    </w:p>
    <w:p w:rsidR="00D2018D" w:rsidRDefault="00D2018D" w:rsidP="009F38E2">
      <w:pPr>
        <w:jc w:val="center"/>
        <w:rPr>
          <w:b/>
          <w:sz w:val="32"/>
          <w:szCs w:val="32"/>
          <w:u w:val="single"/>
        </w:rPr>
      </w:pPr>
    </w:p>
    <w:sectPr w:rsidR="00D2018D" w:rsidSect="00EB7948">
      <w:pgSz w:w="12240" w:h="20160" w:code="5"/>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98D"/>
    <w:multiLevelType w:val="hybridMultilevel"/>
    <w:tmpl w:val="9072E734"/>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DE2EE5"/>
    <w:multiLevelType w:val="hybridMultilevel"/>
    <w:tmpl w:val="D4A2F5CC"/>
    <w:lvl w:ilvl="0" w:tplc="7DA816F4">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9266C9B"/>
    <w:multiLevelType w:val="hybridMultilevel"/>
    <w:tmpl w:val="2E76CA92"/>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3B16C3"/>
    <w:multiLevelType w:val="hybridMultilevel"/>
    <w:tmpl w:val="429254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82421F"/>
    <w:multiLevelType w:val="hybridMultilevel"/>
    <w:tmpl w:val="DAC42838"/>
    <w:lvl w:ilvl="0" w:tplc="0204970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2B35A06"/>
    <w:multiLevelType w:val="hybridMultilevel"/>
    <w:tmpl w:val="DC0683F6"/>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700DAA"/>
    <w:multiLevelType w:val="hybridMultilevel"/>
    <w:tmpl w:val="936AB454"/>
    <w:lvl w:ilvl="0" w:tplc="A252A990">
      <w:start w:val="1"/>
      <w:numFmt w:val="bullet"/>
      <w:lvlText w:val=""/>
      <w:lvlJc w:val="left"/>
      <w:pPr>
        <w:ind w:left="2160" w:hanging="360"/>
      </w:pPr>
      <w:rPr>
        <w:rFonts w:ascii="Wingdings" w:hAnsi="Wingdings" w:hint="default"/>
        <w:color w:val="C0000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3E14415E"/>
    <w:multiLevelType w:val="hybridMultilevel"/>
    <w:tmpl w:val="AA6A2F1A"/>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C7423E"/>
    <w:multiLevelType w:val="hybridMultilevel"/>
    <w:tmpl w:val="DC0683F6"/>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603580"/>
    <w:multiLevelType w:val="hybridMultilevel"/>
    <w:tmpl w:val="6204C8FE"/>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E857E1"/>
    <w:multiLevelType w:val="hybridMultilevel"/>
    <w:tmpl w:val="3356BF70"/>
    <w:lvl w:ilvl="0" w:tplc="D89A0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515243C"/>
    <w:multiLevelType w:val="hybridMultilevel"/>
    <w:tmpl w:val="2D5454B0"/>
    <w:lvl w:ilvl="0" w:tplc="7DA816F4">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1C136B3"/>
    <w:multiLevelType w:val="hybridMultilevel"/>
    <w:tmpl w:val="93E2E6CA"/>
    <w:lvl w:ilvl="0" w:tplc="6ABE9084">
      <w:start w:val="1"/>
      <w:numFmt w:val="bullet"/>
      <w:lvlText w:val=""/>
      <w:lvlJc w:val="left"/>
      <w:pPr>
        <w:ind w:left="2160" w:hanging="360"/>
      </w:pPr>
      <w:rPr>
        <w:rFonts w:ascii="Wingdings" w:hAnsi="Wingdings" w:hint="default"/>
        <w:color w:val="C0000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722B3DBB"/>
    <w:multiLevelType w:val="hybridMultilevel"/>
    <w:tmpl w:val="A2227C60"/>
    <w:lvl w:ilvl="0" w:tplc="0D1A24D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7A42646"/>
    <w:multiLevelType w:val="hybridMultilevel"/>
    <w:tmpl w:val="FB9AD4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FF3F7F"/>
    <w:multiLevelType w:val="hybridMultilevel"/>
    <w:tmpl w:val="81FAD9DA"/>
    <w:lvl w:ilvl="0" w:tplc="277282BE">
      <w:start w:val="1"/>
      <w:numFmt w:val="bullet"/>
      <w:lvlText w:val=""/>
      <w:lvlJc w:val="left"/>
      <w:pPr>
        <w:ind w:left="1440" w:hanging="360"/>
      </w:pPr>
      <w:rPr>
        <w:rFonts w:ascii="Wingdings" w:hAnsi="Wingdings" w:hint="default"/>
        <w:color w:val="C0000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6"/>
  </w:num>
  <w:num w:numId="4">
    <w:abstractNumId w:val="12"/>
  </w:num>
  <w:num w:numId="5">
    <w:abstractNumId w:val="15"/>
  </w:num>
  <w:num w:numId="6">
    <w:abstractNumId w:val="1"/>
  </w:num>
  <w:num w:numId="7">
    <w:abstractNumId w:val="5"/>
  </w:num>
  <w:num w:numId="8">
    <w:abstractNumId w:val="8"/>
  </w:num>
  <w:num w:numId="9">
    <w:abstractNumId w:val="7"/>
  </w:num>
  <w:num w:numId="10">
    <w:abstractNumId w:val="4"/>
  </w:num>
  <w:num w:numId="11">
    <w:abstractNumId w:val="9"/>
  </w:num>
  <w:num w:numId="12">
    <w:abstractNumId w:val="2"/>
  </w:num>
  <w:num w:numId="13">
    <w:abstractNumId w:val="13"/>
  </w:num>
  <w:num w:numId="14">
    <w:abstractNumId w:val="10"/>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6689"/>
    <w:rsid w:val="00002444"/>
    <w:rsid w:val="00023992"/>
    <w:rsid w:val="0005616A"/>
    <w:rsid w:val="00062032"/>
    <w:rsid w:val="000648BC"/>
    <w:rsid w:val="00071AD8"/>
    <w:rsid w:val="000742BB"/>
    <w:rsid w:val="000C0258"/>
    <w:rsid w:val="000C627B"/>
    <w:rsid w:val="000F72C6"/>
    <w:rsid w:val="0011457D"/>
    <w:rsid w:val="00140622"/>
    <w:rsid w:val="00171B92"/>
    <w:rsid w:val="00176FB7"/>
    <w:rsid w:val="00177387"/>
    <w:rsid w:val="0018573D"/>
    <w:rsid w:val="0019078B"/>
    <w:rsid w:val="001C654F"/>
    <w:rsid w:val="001D14A0"/>
    <w:rsid w:val="001D7473"/>
    <w:rsid w:val="001F2735"/>
    <w:rsid w:val="00233925"/>
    <w:rsid w:val="00253F22"/>
    <w:rsid w:val="002660A4"/>
    <w:rsid w:val="0028093C"/>
    <w:rsid w:val="002A3915"/>
    <w:rsid w:val="002A4B27"/>
    <w:rsid w:val="002B5B10"/>
    <w:rsid w:val="002C2741"/>
    <w:rsid w:val="002E14BE"/>
    <w:rsid w:val="002F0E63"/>
    <w:rsid w:val="0030165C"/>
    <w:rsid w:val="00301E22"/>
    <w:rsid w:val="00312F24"/>
    <w:rsid w:val="00321820"/>
    <w:rsid w:val="00323800"/>
    <w:rsid w:val="00330F83"/>
    <w:rsid w:val="003473C8"/>
    <w:rsid w:val="00350E60"/>
    <w:rsid w:val="00371038"/>
    <w:rsid w:val="00392298"/>
    <w:rsid w:val="003D1912"/>
    <w:rsid w:val="003E00CA"/>
    <w:rsid w:val="003F2F6C"/>
    <w:rsid w:val="003F55D3"/>
    <w:rsid w:val="0040557C"/>
    <w:rsid w:val="0042297F"/>
    <w:rsid w:val="00447DC6"/>
    <w:rsid w:val="00457FC6"/>
    <w:rsid w:val="00462D11"/>
    <w:rsid w:val="004661DC"/>
    <w:rsid w:val="00486852"/>
    <w:rsid w:val="004D094B"/>
    <w:rsid w:val="004D1DA4"/>
    <w:rsid w:val="004F2D59"/>
    <w:rsid w:val="00504193"/>
    <w:rsid w:val="0057022B"/>
    <w:rsid w:val="00577AE5"/>
    <w:rsid w:val="005917DC"/>
    <w:rsid w:val="005973E9"/>
    <w:rsid w:val="005A5140"/>
    <w:rsid w:val="00602711"/>
    <w:rsid w:val="00632C5D"/>
    <w:rsid w:val="006365D8"/>
    <w:rsid w:val="00636635"/>
    <w:rsid w:val="006C0730"/>
    <w:rsid w:val="006C083F"/>
    <w:rsid w:val="006D510B"/>
    <w:rsid w:val="006E4E72"/>
    <w:rsid w:val="006E5198"/>
    <w:rsid w:val="006E7FB3"/>
    <w:rsid w:val="006F653C"/>
    <w:rsid w:val="00727AF0"/>
    <w:rsid w:val="00754FBE"/>
    <w:rsid w:val="007572E2"/>
    <w:rsid w:val="00757782"/>
    <w:rsid w:val="007B21D1"/>
    <w:rsid w:val="007B5639"/>
    <w:rsid w:val="007B7142"/>
    <w:rsid w:val="007F016F"/>
    <w:rsid w:val="0080519D"/>
    <w:rsid w:val="00814D7C"/>
    <w:rsid w:val="00821EA0"/>
    <w:rsid w:val="00870D37"/>
    <w:rsid w:val="00872159"/>
    <w:rsid w:val="0087764F"/>
    <w:rsid w:val="008840E7"/>
    <w:rsid w:val="008E579B"/>
    <w:rsid w:val="008F535B"/>
    <w:rsid w:val="0090196A"/>
    <w:rsid w:val="0092473E"/>
    <w:rsid w:val="00932AC3"/>
    <w:rsid w:val="00956987"/>
    <w:rsid w:val="0096170D"/>
    <w:rsid w:val="00965E5E"/>
    <w:rsid w:val="009723F6"/>
    <w:rsid w:val="00983061"/>
    <w:rsid w:val="009867D7"/>
    <w:rsid w:val="009B6B5B"/>
    <w:rsid w:val="009C7164"/>
    <w:rsid w:val="009F38E2"/>
    <w:rsid w:val="00A159AE"/>
    <w:rsid w:val="00A23EC4"/>
    <w:rsid w:val="00A3101A"/>
    <w:rsid w:val="00A33748"/>
    <w:rsid w:val="00A34C4D"/>
    <w:rsid w:val="00A61534"/>
    <w:rsid w:val="00A9116B"/>
    <w:rsid w:val="00A93F8D"/>
    <w:rsid w:val="00AB4A8A"/>
    <w:rsid w:val="00AB68E5"/>
    <w:rsid w:val="00B0187D"/>
    <w:rsid w:val="00B26996"/>
    <w:rsid w:val="00B55D04"/>
    <w:rsid w:val="00B60D45"/>
    <w:rsid w:val="00B76E78"/>
    <w:rsid w:val="00B82B94"/>
    <w:rsid w:val="00B84483"/>
    <w:rsid w:val="00B87516"/>
    <w:rsid w:val="00B915D3"/>
    <w:rsid w:val="00B96689"/>
    <w:rsid w:val="00BA614B"/>
    <w:rsid w:val="00BF5993"/>
    <w:rsid w:val="00C533AF"/>
    <w:rsid w:val="00C573FA"/>
    <w:rsid w:val="00C71B38"/>
    <w:rsid w:val="00C74554"/>
    <w:rsid w:val="00C76314"/>
    <w:rsid w:val="00C90E02"/>
    <w:rsid w:val="00C96900"/>
    <w:rsid w:val="00CA1CD9"/>
    <w:rsid w:val="00CD551F"/>
    <w:rsid w:val="00CF720A"/>
    <w:rsid w:val="00D146FD"/>
    <w:rsid w:val="00D2018D"/>
    <w:rsid w:val="00D44DC0"/>
    <w:rsid w:val="00D63A5E"/>
    <w:rsid w:val="00D7316F"/>
    <w:rsid w:val="00DA02E8"/>
    <w:rsid w:val="00DA42E6"/>
    <w:rsid w:val="00DC36C7"/>
    <w:rsid w:val="00DD5456"/>
    <w:rsid w:val="00DE281D"/>
    <w:rsid w:val="00DE6107"/>
    <w:rsid w:val="00DF14B3"/>
    <w:rsid w:val="00DF2484"/>
    <w:rsid w:val="00DF3554"/>
    <w:rsid w:val="00E21FA2"/>
    <w:rsid w:val="00E301F5"/>
    <w:rsid w:val="00E311CD"/>
    <w:rsid w:val="00E36D42"/>
    <w:rsid w:val="00E37A83"/>
    <w:rsid w:val="00E50B4C"/>
    <w:rsid w:val="00E51657"/>
    <w:rsid w:val="00E54C6F"/>
    <w:rsid w:val="00E66159"/>
    <w:rsid w:val="00EA4649"/>
    <w:rsid w:val="00EB7948"/>
    <w:rsid w:val="00EC31F7"/>
    <w:rsid w:val="00EE5C6F"/>
    <w:rsid w:val="00F0107D"/>
    <w:rsid w:val="00F17738"/>
    <w:rsid w:val="00F26C10"/>
    <w:rsid w:val="00F35B36"/>
    <w:rsid w:val="00F579FD"/>
    <w:rsid w:val="00F6174B"/>
    <w:rsid w:val="00F6483D"/>
    <w:rsid w:val="00F76099"/>
    <w:rsid w:val="00F76BC9"/>
    <w:rsid w:val="00F83B24"/>
    <w:rsid w:val="00F94325"/>
    <w:rsid w:val="00F94876"/>
    <w:rsid w:val="00FA7114"/>
    <w:rsid w:val="00FC1B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96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96689"/>
    <w:rPr>
      <w:rFonts w:ascii="Tahoma" w:hAnsi="Tahoma" w:cs="Tahoma"/>
      <w:sz w:val="16"/>
      <w:szCs w:val="16"/>
    </w:rPr>
  </w:style>
  <w:style w:type="table" w:styleId="TableGrid">
    <w:name w:val="Table Grid"/>
    <w:basedOn w:val="TableNormal"/>
    <w:uiPriority w:val="59"/>
    <w:rsid w:val="00B96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6C10"/>
    <w:pPr>
      <w:ind w:left="720"/>
      <w:contextualSpacing/>
    </w:pPr>
  </w:style>
  <w:style w:type="character" w:styleId="Hyperlink">
    <w:name w:val="Hyperlink"/>
    <w:basedOn w:val="DefaultParagraphFont"/>
    <w:uiPriority w:val="99"/>
    <w:unhideWhenUsed/>
    <w:rsid w:val="00457FC6"/>
    <w:rPr>
      <w:color w:val="0000FF" w:themeColor="hyperlink"/>
      <w:u w:val="single"/>
    </w:rPr>
  </w:style>
  <w:style w:type="paragraph" w:styleId="NoSpacing">
    <w:name w:val="No Spacing"/>
    <w:uiPriority w:val="1"/>
    <w:qFormat/>
    <w:rsid w:val="00C90E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er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ACD8-1652-4533-B0E3-BA30714C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2014-08-04T06:55:00Z</cp:lastPrinted>
  <dcterms:created xsi:type="dcterms:W3CDTF">2014-09-16T06:02:00Z</dcterms:created>
  <dcterms:modified xsi:type="dcterms:W3CDTF">2014-09-16T08:22:00Z</dcterms:modified>
</cp:coreProperties>
</file>