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72" w:rsidRDefault="006E4E72" w:rsidP="00754FBE">
      <w:pPr>
        <w:rPr>
          <w:b/>
          <w:sz w:val="32"/>
          <w:szCs w:val="32"/>
          <w:u w:val="single"/>
        </w:rPr>
      </w:pPr>
    </w:p>
    <w:p w:rsidR="00D2018D" w:rsidRDefault="009F38E2" w:rsidP="00754FBE">
      <w:pPr>
        <w:jc w:val="center"/>
        <w:rPr>
          <w:b/>
          <w:sz w:val="32"/>
          <w:szCs w:val="32"/>
          <w:u w:val="single"/>
        </w:rPr>
      </w:pPr>
      <w:r w:rsidRPr="009F38E2">
        <w:rPr>
          <w:b/>
          <w:sz w:val="32"/>
          <w:szCs w:val="32"/>
          <w:u w:val="single"/>
        </w:rPr>
        <w:t>PARTICULARS OF CONSULTATION</w:t>
      </w:r>
    </w:p>
    <w:p w:rsidR="003F2F6C" w:rsidRPr="003F2F6C" w:rsidRDefault="003F2F6C" w:rsidP="003F2F6C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F2F6C">
        <w:rPr>
          <w:b/>
          <w:sz w:val="24"/>
          <w:szCs w:val="24"/>
        </w:rPr>
        <w:t>Section 4(1</w:t>
      </w:r>
      <w:proofErr w:type="gramStart"/>
      <w:r w:rsidRPr="003F2F6C">
        <w:rPr>
          <w:b/>
          <w:sz w:val="24"/>
          <w:szCs w:val="24"/>
        </w:rPr>
        <w:t>)(</w:t>
      </w:r>
      <w:proofErr w:type="gramEnd"/>
      <w:r w:rsidRPr="003F2F6C">
        <w:rPr>
          <w:b/>
          <w:sz w:val="24"/>
          <w:szCs w:val="24"/>
        </w:rPr>
        <w:t>b)(</w:t>
      </w:r>
      <w:r>
        <w:rPr>
          <w:b/>
          <w:sz w:val="24"/>
          <w:szCs w:val="24"/>
        </w:rPr>
        <w:t>vii</w:t>
      </w:r>
      <w:r w:rsidRPr="003F2F6C">
        <w:rPr>
          <w:b/>
          <w:sz w:val="24"/>
          <w:szCs w:val="24"/>
        </w:rPr>
        <w:t>)</w:t>
      </w:r>
    </w:p>
    <w:p w:rsidR="003F2F6C" w:rsidRPr="00754FBE" w:rsidRDefault="003F2F6C" w:rsidP="00754FBE">
      <w:pPr>
        <w:jc w:val="center"/>
        <w:rPr>
          <w:b/>
          <w:sz w:val="32"/>
          <w:szCs w:val="32"/>
          <w:u w:val="single"/>
        </w:rPr>
      </w:pPr>
    </w:p>
    <w:p w:rsidR="00D2018D" w:rsidRPr="00D2018D" w:rsidRDefault="00D2018D" w:rsidP="00D2018D">
      <w:pPr>
        <w:jc w:val="both"/>
        <w:rPr>
          <w:b/>
          <w:sz w:val="28"/>
          <w:szCs w:val="28"/>
        </w:rPr>
      </w:pPr>
      <w:proofErr w:type="gramStart"/>
      <w:r w:rsidRPr="00D2018D">
        <w:rPr>
          <w:b/>
          <w:sz w:val="28"/>
          <w:szCs w:val="28"/>
        </w:rPr>
        <w:t>Particulars of any arrangement that exists for consultation with, or representation by the members of the public in relation to the formulation of its policy or implementation thereof.</w:t>
      </w:r>
      <w:proofErr w:type="gramEnd"/>
    </w:p>
    <w:tbl>
      <w:tblPr>
        <w:tblStyle w:val="TableGrid"/>
        <w:tblW w:w="10064" w:type="dxa"/>
        <w:tblInd w:w="250" w:type="dxa"/>
        <w:tblLayout w:type="fixed"/>
        <w:tblLook w:val="04A0"/>
      </w:tblPr>
      <w:tblGrid>
        <w:gridCol w:w="851"/>
        <w:gridCol w:w="1559"/>
        <w:gridCol w:w="3685"/>
        <w:gridCol w:w="2680"/>
        <w:gridCol w:w="1289"/>
      </w:tblGrid>
      <w:tr w:rsidR="00C533AF" w:rsidRPr="00D2018D" w:rsidTr="00DE6107">
        <w:tc>
          <w:tcPr>
            <w:tcW w:w="851" w:type="dxa"/>
          </w:tcPr>
          <w:p w:rsidR="00D2018D" w:rsidRPr="003E00CA" w:rsidRDefault="00D2018D" w:rsidP="005B0F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00CA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59" w:type="dxa"/>
          </w:tcPr>
          <w:p w:rsidR="00D2018D" w:rsidRPr="003E00CA" w:rsidRDefault="00D2018D" w:rsidP="005B0F8B">
            <w:pPr>
              <w:jc w:val="center"/>
              <w:rPr>
                <w:b/>
                <w:sz w:val="24"/>
                <w:szCs w:val="24"/>
              </w:rPr>
            </w:pPr>
            <w:r w:rsidRPr="003E00CA">
              <w:rPr>
                <w:b/>
                <w:sz w:val="24"/>
                <w:szCs w:val="24"/>
              </w:rPr>
              <w:t>Name and address of the Consultative Committees/Bodies.</w:t>
            </w:r>
          </w:p>
        </w:tc>
        <w:tc>
          <w:tcPr>
            <w:tcW w:w="3685" w:type="dxa"/>
          </w:tcPr>
          <w:p w:rsidR="00D2018D" w:rsidRPr="003E00CA" w:rsidRDefault="00D2018D" w:rsidP="005B0F8B">
            <w:pPr>
              <w:jc w:val="center"/>
              <w:rPr>
                <w:b/>
                <w:sz w:val="24"/>
                <w:szCs w:val="24"/>
              </w:rPr>
            </w:pPr>
            <w:r w:rsidRPr="003E00CA">
              <w:rPr>
                <w:b/>
                <w:sz w:val="24"/>
                <w:szCs w:val="24"/>
              </w:rPr>
              <w:t>Constitution of the Committee/Body</w:t>
            </w:r>
          </w:p>
        </w:tc>
        <w:tc>
          <w:tcPr>
            <w:tcW w:w="2680" w:type="dxa"/>
          </w:tcPr>
          <w:p w:rsidR="00D2018D" w:rsidRPr="003E00CA" w:rsidRDefault="00D2018D" w:rsidP="00DE6107">
            <w:pPr>
              <w:jc w:val="center"/>
              <w:rPr>
                <w:b/>
                <w:sz w:val="24"/>
                <w:szCs w:val="24"/>
              </w:rPr>
            </w:pPr>
            <w:r w:rsidRPr="003E00CA">
              <w:rPr>
                <w:b/>
                <w:sz w:val="24"/>
                <w:szCs w:val="24"/>
              </w:rPr>
              <w:t>Role</w:t>
            </w:r>
            <w:r w:rsidR="00DE6107">
              <w:rPr>
                <w:b/>
                <w:sz w:val="24"/>
                <w:szCs w:val="24"/>
              </w:rPr>
              <w:t>,</w:t>
            </w:r>
            <w:r w:rsidRPr="003E00CA">
              <w:rPr>
                <w:b/>
                <w:sz w:val="24"/>
                <w:szCs w:val="24"/>
              </w:rPr>
              <w:t xml:space="preserve"> </w:t>
            </w:r>
            <w:r w:rsidR="00DE6107">
              <w:rPr>
                <w:b/>
                <w:sz w:val="24"/>
                <w:szCs w:val="24"/>
              </w:rPr>
              <w:t>R</w:t>
            </w:r>
            <w:r w:rsidRPr="003E00CA">
              <w:rPr>
                <w:b/>
                <w:sz w:val="24"/>
                <w:szCs w:val="24"/>
              </w:rPr>
              <w:t>esponsibility</w:t>
            </w:r>
            <w:r w:rsidR="00DE6107">
              <w:rPr>
                <w:b/>
                <w:sz w:val="24"/>
                <w:szCs w:val="24"/>
              </w:rPr>
              <w:t xml:space="preserve"> &amp; Functions</w:t>
            </w:r>
          </w:p>
        </w:tc>
        <w:tc>
          <w:tcPr>
            <w:tcW w:w="1289" w:type="dxa"/>
          </w:tcPr>
          <w:p w:rsidR="00D2018D" w:rsidRPr="003E00CA" w:rsidRDefault="00D2018D" w:rsidP="005B0F8B">
            <w:pPr>
              <w:jc w:val="center"/>
              <w:rPr>
                <w:b/>
                <w:sz w:val="24"/>
                <w:szCs w:val="24"/>
              </w:rPr>
            </w:pPr>
            <w:r w:rsidRPr="003E00CA">
              <w:rPr>
                <w:b/>
                <w:sz w:val="24"/>
                <w:szCs w:val="24"/>
              </w:rPr>
              <w:t>Frequency of meetings.</w:t>
            </w:r>
          </w:p>
        </w:tc>
      </w:tr>
      <w:tr w:rsidR="00C533AF" w:rsidRPr="00D2018D" w:rsidTr="00DE6107">
        <w:tc>
          <w:tcPr>
            <w:tcW w:w="851" w:type="dxa"/>
          </w:tcPr>
          <w:p w:rsidR="00D2018D" w:rsidRPr="00D2018D" w:rsidRDefault="00D2018D" w:rsidP="005B0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D2018D" w:rsidRDefault="00C533AF" w:rsidP="005B0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Advisory Committee</w:t>
            </w:r>
          </w:p>
          <w:p w:rsidR="00C533AF" w:rsidRPr="00D2018D" w:rsidRDefault="00C533AF" w:rsidP="005B0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018D" w:rsidRDefault="00C533AF" w:rsidP="00C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Section 87 of the Electricity Act, 2003, the State Advisory Committee (SAC) shall consist of not more than twenty one members to represent the interest of commerce,industry,transport,agriculture,labour,consumers,non-governmenal organizations and academic and research bodies in the electricity sector. The Chairperson of the State Commission shall be ex-officio Chairperson of the State Advisory Committee and the Members of the SAC and the Secretary to the State Government in charge of the </w:t>
            </w:r>
            <w:proofErr w:type="gramStart"/>
            <w:r>
              <w:rPr>
                <w:sz w:val="24"/>
                <w:szCs w:val="24"/>
              </w:rPr>
              <w:t>Ministry  or</w:t>
            </w:r>
            <w:proofErr w:type="gramEnd"/>
            <w:r>
              <w:rPr>
                <w:sz w:val="24"/>
                <w:szCs w:val="24"/>
              </w:rPr>
              <w:t xml:space="preserve"> Department dealing with Consumer Affairs and Public Distribution System shall be ex-officio Members of the Committee.  </w:t>
            </w:r>
            <w:r w:rsidR="00350E60">
              <w:rPr>
                <w:sz w:val="24"/>
                <w:szCs w:val="24"/>
              </w:rPr>
              <w:t>The Secretary of the State Commission shall be the ex-officio Secretary of the SAC.</w:t>
            </w:r>
          </w:p>
          <w:p w:rsidR="00C533AF" w:rsidRPr="00D2018D" w:rsidRDefault="00C533AF" w:rsidP="00D2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present </w:t>
            </w:r>
            <w:r w:rsidR="00D25B68">
              <w:rPr>
                <w:sz w:val="24"/>
                <w:szCs w:val="24"/>
              </w:rPr>
              <w:t>the SAC has four</w:t>
            </w:r>
            <w:r>
              <w:rPr>
                <w:sz w:val="24"/>
                <w:szCs w:val="24"/>
              </w:rPr>
              <w:t xml:space="preserve"> members</w:t>
            </w:r>
            <w:r w:rsidR="000742BB">
              <w:rPr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D2018D" w:rsidRDefault="00DE6107" w:rsidP="00DE6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SAC ,pursuant to Section 87 of the Electricity Act, 2003, advises the Commission on:</w:t>
            </w:r>
          </w:p>
          <w:p w:rsidR="00DE6107" w:rsidRDefault="00DE6107" w:rsidP="00DE6107">
            <w:pPr>
              <w:pStyle w:val="ListParagraph"/>
              <w:numPr>
                <w:ilvl w:val="0"/>
                <w:numId w:val="7"/>
              </w:numPr>
              <w:ind w:left="601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questions of policy;</w:t>
            </w:r>
          </w:p>
          <w:p w:rsidR="00DE6107" w:rsidRDefault="00DE6107" w:rsidP="00DE6107">
            <w:pPr>
              <w:pStyle w:val="ListParagraph"/>
              <w:numPr>
                <w:ilvl w:val="0"/>
                <w:numId w:val="7"/>
              </w:numPr>
              <w:ind w:left="601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relating to quality, continuity and extent of services provided by licensees;</w:t>
            </w:r>
          </w:p>
          <w:p w:rsidR="00DE6107" w:rsidRDefault="00DE6107" w:rsidP="00DE6107">
            <w:pPr>
              <w:pStyle w:val="ListParagraph"/>
              <w:numPr>
                <w:ilvl w:val="0"/>
                <w:numId w:val="7"/>
              </w:numPr>
              <w:ind w:left="601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 by licensees with the conditions and requirements of their licence;</w:t>
            </w:r>
          </w:p>
          <w:p w:rsidR="00DE6107" w:rsidRDefault="00DE6107" w:rsidP="00DE6107">
            <w:pPr>
              <w:pStyle w:val="ListParagraph"/>
              <w:numPr>
                <w:ilvl w:val="0"/>
                <w:numId w:val="7"/>
              </w:numPr>
              <w:ind w:left="601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of consumer interest; and</w:t>
            </w:r>
          </w:p>
          <w:p w:rsidR="00DE6107" w:rsidRPr="00DE6107" w:rsidRDefault="00DE6107" w:rsidP="00DE6107">
            <w:pPr>
              <w:pStyle w:val="ListParagraph"/>
              <w:numPr>
                <w:ilvl w:val="0"/>
                <w:numId w:val="7"/>
              </w:numPr>
              <w:ind w:left="601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Electricity supply and overall standards of performance by utilities. </w:t>
            </w:r>
          </w:p>
        </w:tc>
        <w:tc>
          <w:tcPr>
            <w:tcW w:w="1289" w:type="dxa"/>
          </w:tcPr>
          <w:p w:rsidR="00F94876" w:rsidRDefault="00F94876" w:rsidP="005B0F8B">
            <w:pPr>
              <w:jc w:val="center"/>
              <w:rPr>
                <w:sz w:val="24"/>
                <w:szCs w:val="24"/>
              </w:rPr>
            </w:pPr>
          </w:p>
          <w:p w:rsidR="00D2018D" w:rsidRPr="00D2018D" w:rsidRDefault="00F94876" w:rsidP="005B0F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Atleast</w:t>
            </w:r>
            <w:proofErr w:type="spellEnd"/>
            <w:r>
              <w:rPr>
                <w:sz w:val="24"/>
                <w:szCs w:val="24"/>
              </w:rPr>
              <w:t xml:space="preserve"> once in every three months.</w:t>
            </w:r>
          </w:p>
        </w:tc>
      </w:tr>
    </w:tbl>
    <w:p w:rsidR="00D2018D" w:rsidRDefault="00D2018D" w:rsidP="00D2018D">
      <w:pPr>
        <w:ind w:firstLine="720"/>
        <w:rPr>
          <w:sz w:val="28"/>
          <w:szCs w:val="28"/>
        </w:rPr>
      </w:pPr>
    </w:p>
    <w:p w:rsidR="000742BB" w:rsidRDefault="000742BB" w:rsidP="00D2018D">
      <w:pPr>
        <w:ind w:firstLine="720"/>
        <w:rPr>
          <w:sz w:val="28"/>
          <w:szCs w:val="28"/>
        </w:rPr>
      </w:pPr>
    </w:p>
    <w:p w:rsidR="000742BB" w:rsidRDefault="000742BB" w:rsidP="00D2018D">
      <w:pPr>
        <w:ind w:firstLine="720"/>
        <w:rPr>
          <w:sz w:val="28"/>
          <w:szCs w:val="28"/>
        </w:rPr>
      </w:pPr>
    </w:p>
    <w:p w:rsidR="000742BB" w:rsidRDefault="000742BB" w:rsidP="00D2018D">
      <w:pPr>
        <w:ind w:firstLine="720"/>
        <w:rPr>
          <w:sz w:val="28"/>
          <w:szCs w:val="28"/>
        </w:rPr>
      </w:pPr>
    </w:p>
    <w:p w:rsidR="00392298" w:rsidRDefault="00392298" w:rsidP="00D2018D">
      <w:pPr>
        <w:ind w:firstLine="720"/>
        <w:rPr>
          <w:sz w:val="28"/>
          <w:szCs w:val="28"/>
        </w:rPr>
      </w:pPr>
    </w:p>
    <w:p w:rsidR="00392298" w:rsidRDefault="00392298" w:rsidP="00D2018D">
      <w:pPr>
        <w:ind w:firstLine="720"/>
        <w:rPr>
          <w:sz w:val="28"/>
          <w:szCs w:val="28"/>
        </w:rPr>
      </w:pPr>
    </w:p>
    <w:p w:rsidR="00392298" w:rsidRDefault="00392298" w:rsidP="00D2018D">
      <w:pPr>
        <w:ind w:firstLine="720"/>
        <w:rPr>
          <w:sz w:val="28"/>
          <w:szCs w:val="28"/>
        </w:rPr>
      </w:pPr>
    </w:p>
    <w:p w:rsidR="00392298" w:rsidRDefault="00392298" w:rsidP="00D2018D">
      <w:pPr>
        <w:ind w:firstLine="720"/>
        <w:rPr>
          <w:sz w:val="28"/>
          <w:szCs w:val="28"/>
        </w:rPr>
      </w:pPr>
    </w:p>
    <w:p w:rsidR="00754FBE" w:rsidRDefault="00754FBE" w:rsidP="00323800">
      <w:pPr>
        <w:rPr>
          <w:b/>
          <w:sz w:val="28"/>
          <w:szCs w:val="28"/>
          <w:u w:val="single"/>
        </w:rPr>
      </w:pPr>
    </w:p>
    <w:sectPr w:rsidR="00754FBE" w:rsidSect="000C0258">
      <w:pgSz w:w="12240" w:h="20160" w:code="5"/>
      <w:pgMar w:top="568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98D"/>
    <w:multiLevelType w:val="hybridMultilevel"/>
    <w:tmpl w:val="9072E734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EE5"/>
    <w:multiLevelType w:val="hybridMultilevel"/>
    <w:tmpl w:val="D4A2F5CC"/>
    <w:lvl w:ilvl="0" w:tplc="7DA816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66C9B"/>
    <w:multiLevelType w:val="hybridMultilevel"/>
    <w:tmpl w:val="2E76CA92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421F"/>
    <w:multiLevelType w:val="hybridMultilevel"/>
    <w:tmpl w:val="DAC42838"/>
    <w:lvl w:ilvl="0" w:tplc="020497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B35A06"/>
    <w:multiLevelType w:val="hybridMultilevel"/>
    <w:tmpl w:val="DC0683F6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00DAA"/>
    <w:multiLevelType w:val="hybridMultilevel"/>
    <w:tmpl w:val="936AB454"/>
    <w:lvl w:ilvl="0" w:tplc="A252A99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14415E"/>
    <w:multiLevelType w:val="hybridMultilevel"/>
    <w:tmpl w:val="AA6A2F1A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7423E"/>
    <w:multiLevelType w:val="hybridMultilevel"/>
    <w:tmpl w:val="DC0683F6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3580"/>
    <w:multiLevelType w:val="hybridMultilevel"/>
    <w:tmpl w:val="6204C8FE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857E1"/>
    <w:multiLevelType w:val="hybridMultilevel"/>
    <w:tmpl w:val="3356BF70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5243C"/>
    <w:multiLevelType w:val="hybridMultilevel"/>
    <w:tmpl w:val="2D5454B0"/>
    <w:lvl w:ilvl="0" w:tplc="7DA816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C136B3"/>
    <w:multiLevelType w:val="hybridMultilevel"/>
    <w:tmpl w:val="93E2E6CA"/>
    <w:lvl w:ilvl="0" w:tplc="6ABE908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22B3DBB"/>
    <w:multiLevelType w:val="hybridMultilevel"/>
    <w:tmpl w:val="A2227C60"/>
    <w:lvl w:ilvl="0" w:tplc="0D1A24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A42646"/>
    <w:multiLevelType w:val="hybridMultilevel"/>
    <w:tmpl w:val="FB9AD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F3F7F"/>
    <w:multiLevelType w:val="hybridMultilevel"/>
    <w:tmpl w:val="81FAD9DA"/>
    <w:lvl w:ilvl="0" w:tplc="277282B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689"/>
    <w:rsid w:val="00002444"/>
    <w:rsid w:val="00023992"/>
    <w:rsid w:val="0005616A"/>
    <w:rsid w:val="000648BC"/>
    <w:rsid w:val="00071AD8"/>
    <w:rsid w:val="000742BB"/>
    <w:rsid w:val="000C0258"/>
    <w:rsid w:val="000C627B"/>
    <w:rsid w:val="000F72C6"/>
    <w:rsid w:val="0011457D"/>
    <w:rsid w:val="00140622"/>
    <w:rsid w:val="00171B92"/>
    <w:rsid w:val="00176FB7"/>
    <w:rsid w:val="0019078B"/>
    <w:rsid w:val="001C3A03"/>
    <w:rsid w:val="001C654F"/>
    <w:rsid w:val="001D14A0"/>
    <w:rsid w:val="001D7473"/>
    <w:rsid w:val="001F2735"/>
    <w:rsid w:val="00233925"/>
    <w:rsid w:val="00253F22"/>
    <w:rsid w:val="002660A4"/>
    <w:rsid w:val="0028093C"/>
    <w:rsid w:val="002A3915"/>
    <w:rsid w:val="002A4B27"/>
    <w:rsid w:val="002B5B10"/>
    <w:rsid w:val="002C2741"/>
    <w:rsid w:val="002E14BE"/>
    <w:rsid w:val="002F0E63"/>
    <w:rsid w:val="00301E22"/>
    <w:rsid w:val="00312F24"/>
    <w:rsid w:val="00321820"/>
    <w:rsid w:val="00323800"/>
    <w:rsid w:val="00330F83"/>
    <w:rsid w:val="003473C8"/>
    <w:rsid w:val="00350E60"/>
    <w:rsid w:val="00371038"/>
    <w:rsid w:val="00392298"/>
    <w:rsid w:val="003E00CA"/>
    <w:rsid w:val="003F2F6C"/>
    <w:rsid w:val="0040557C"/>
    <w:rsid w:val="0042297F"/>
    <w:rsid w:val="00447DC6"/>
    <w:rsid w:val="00457FC6"/>
    <w:rsid w:val="00462D11"/>
    <w:rsid w:val="004661DC"/>
    <w:rsid w:val="00486852"/>
    <w:rsid w:val="004D094B"/>
    <w:rsid w:val="004D1DA4"/>
    <w:rsid w:val="004F2D59"/>
    <w:rsid w:val="00504193"/>
    <w:rsid w:val="0057022B"/>
    <w:rsid w:val="005917DC"/>
    <w:rsid w:val="005973E9"/>
    <w:rsid w:val="00632C5D"/>
    <w:rsid w:val="006365D8"/>
    <w:rsid w:val="00636635"/>
    <w:rsid w:val="006C0730"/>
    <w:rsid w:val="006C083F"/>
    <w:rsid w:val="006C39F0"/>
    <w:rsid w:val="006D510B"/>
    <w:rsid w:val="006E4E72"/>
    <w:rsid w:val="006E5198"/>
    <w:rsid w:val="006E7FB3"/>
    <w:rsid w:val="006F653C"/>
    <w:rsid w:val="00727AF0"/>
    <w:rsid w:val="00754FBE"/>
    <w:rsid w:val="00757782"/>
    <w:rsid w:val="007B21D1"/>
    <w:rsid w:val="007B5639"/>
    <w:rsid w:val="007B7142"/>
    <w:rsid w:val="007F016F"/>
    <w:rsid w:val="0080519D"/>
    <w:rsid w:val="00814D7C"/>
    <w:rsid w:val="00821EA0"/>
    <w:rsid w:val="00870D37"/>
    <w:rsid w:val="00872159"/>
    <w:rsid w:val="0087764F"/>
    <w:rsid w:val="008840E7"/>
    <w:rsid w:val="008E579B"/>
    <w:rsid w:val="008F535B"/>
    <w:rsid w:val="0090196A"/>
    <w:rsid w:val="0092473E"/>
    <w:rsid w:val="00932AC3"/>
    <w:rsid w:val="00956987"/>
    <w:rsid w:val="0096170D"/>
    <w:rsid w:val="00983061"/>
    <w:rsid w:val="009867D7"/>
    <w:rsid w:val="009B6B5B"/>
    <w:rsid w:val="009D198F"/>
    <w:rsid w:val="009F38E2"/>
    <w:rsid w:val="00A23EC4"/>
    <w:rsid w:val="00A3101A"/>
    <w:rsid w:val="00A34C4D"/>
    <w:rsid w:val="00A9116B"/>
    <w:rsid w:val="00A93F8D"/>
    <w:rsid w:val="00B26996"/>
    <w:rsid w:val="00B55D04"/>
    <w:rsid w:val="00B60D45"/>
    <w:rsid w:val="00B76E78"/>
    <w:rsid w:val="00B82B94"/>
    <w:rsid w:val="00B87516"/>
    <w:rsid w:val="00B96689"/>
    <w:rsid w:val="00BA614B"/>
    <w:rsid w:val="00BF5993"/>
    <w:rsid w:val="00C533AF"/>
    <w:rsid w:val="00C573FA"/>
    <w:rsid w:val="00C71B38"/>
    <w:rsid w:val="00C76314"/>
    <w:rsid w:val="00C96900"/>
    <w:rsid w:val="00CA1CD9"/>
    <w:rsid w:val="00CF720A"/>
    <w:rsid w:val="00D146FD"/>
    <w:rsid w:val="00D2018D"/>
    <w:rsid w:val="00D25B68"/>
    <w:rsid w:val="00D63A5E"/>
    <w:rsid w:val="00D7316F"/>
    <w:rsid w:val="00DA02E8"/>
    <w:rsid w:val="00DA42E6"/>
    <w:rsid w:val="00DD5456"/>
    <w:rsid w:val="00DE281D"/>
    <w:rsid w:val="00DE6107"/>
    <w:rsid w:val="00DF14B3"/>
    <w:rsid w:val="00DF3554"/>
    <w:rsid w:val="00E21FA2"/>
    <w:rsid w:val="00E301F5"/>
    <w:rsid w:val="00E36D42"/>
    <w:rsid w:val="00E37A83"/>
    <w:rsid w:val="00E50B4C"/>
    <w:rsid w:val="00E51657"/>
    <w:rsid w:val="00E54C6F"/>
    <w:rsid w:val="00EA4649"/>
    <w:rsid w:val="00EC31F7"/>
    <w:rsid w:val="00EE5C6F"/>
    <w:rsid w:val="00F0107D"/>
    <w:rsid w:val="00F17738"/>
    <w:rsid w:val="00F26C10"/>
    <w:rsid w:val="00F579FD"/>
    <w:rsid w:val="00F6174B"/>
    <w:rsid w:val="00F6483D"/>
    <w:rsid w:val="00F76099"/>
    <w:rsid w:val="00F83B24"/>
    <w:rsid w:val="00F94325"/>
    <w:rsid w:val="00F94876"/>
    <w:rsid w:val="00FA7114"/>
    <w:rsid w:val="00FC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9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6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ACD8-1652-4533-B0E3-BA30714C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2014-08-04T06:55:00Z</cp:lastPrinted>
  <dcterms:created xsi:type="dcterms:W3CDTF">2014-09-25T07:10:00Z</dcterms:created>
  <dcterms:modified xsi:type="dcterms:W3CDTF">2014-09-25T07:11:00Z</dcterms:modified>
</cp:coreProperties>
</file>